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3" w:rsidRDefault="00FC3748" w:rsidP="005D1CCF">
      <w:pPr>
        <w:spacing w:line="560" w:lineRule="exact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附件：</w:t>
      </w:r>
    </w:p>
    <w:p w:rsidR="00E17FF3" w:rsidRPr="00FC3748" w:rsidRDefault="00FC3748" w:rsidP="005D1CCF">
      <w:pPr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FC3748">
        <w:rPr>
          <w:rFonts w:ascii="方正小标宋简体" w:eastAsia="方正小标宋简体" w:hint="eastAsia"/>
          <w:kern w:val="0"/>
          <w:sz w:val="36"/>
          <w:szCs w:val="36"/>
        </w:rPr>
        <w:t>2020年度共青团</w:t>
      </w:r>
      <w:r w:rsidRPr="00FC3748">
        <w:rPr>
          <w:rFonts w:ascii="方正小标宋简体" w:eastAsia="方正小标宋简体" w:hAnsi="宋体" w:cs="宋体" w:hint="eastAsia"/>
          <w:kern w:val="0"/>
          <w:sz w:val="36"/>
          <w:szCs w:val="36"/>
        </w:rPr>
        <w:t>研究</w:t>
      </w:r>
      <w:r w:rsidRPr="00FC3748">
        <w:rPr>
          <w:rFonts w:ascii="方正小标宋简体" w:eastAsia="方正小标宋简体" w:hint="eastAsia"/>
          <w:kern w:val="0"/>
          <w:sz w:val="36"/>
          <w:szCs w:val="36"/>
        </w:rPr>
        <w:t>课题入选名单</w:t>
      </w:r>
    </w:p>
    <w:tbl>
      <w:tblPr>
        <w:tblStyle w:val="a6"/>
        <w:tblW w:w="15849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7695"/>
        <w:gridCol w:w="1506"/>
        <w:gridCol w:w="1491"/>
        <w:gridCol w:w="4534"/>
      </w:tblGrid>
      <w:tr w:rsidR="00E17FF3">
        <w:trPr>
          <w:trHeight w:val="725"/>
          <w:jc w:val="center"/>
        </w:trPr>
        <w:tc>
          <w:tcPr>
            <w:tcW w:w="623" w:type="dxa"/>
            <w:vAlign w:val="center"/>
          </w:tcPr>
          <w:p w:rsidR="00E17FF3" w:rsidRDefault="00FC3748">
            <w:pPr>
              <w:spacing w:line="4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7695" w:type="dxa"/>
            <w:vAlign w:val="center"/>
          </w:tcPr>
          <w:p w:rsidR="00E17FF3" w:rsidRDefault="00FC374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课题名称</w:t>
            </w:r>
          </w:p>
        </w:tc>
        <w:tc>
          <w:tcPr>
            <w:tcW w:w="1506" w:type="dxa"/>
            <w:vAlign w:val="center"/>
          </w:tcPr>
          <w:p w:rsidR="00E17FF3" w:rsidRDefault="00FC374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负责人</w:t>
            </w:r>
          </w:p>
        </w:tc>
        <w:tc>
          <w:tcPr>
            <w:tcW w:w="1491" w:type="dxa"/>
            <w:vAlign w:val="center"/>
          </w:tcPr>
          <w:p w:rsidR="00E17FF3" w:rsidRDefault="00FC374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课题性质</w:t>
            </w:r>
          </w:p>
        </w:tc>
        <w:tc>
          <w:tcPr>
            <w:tcW w:w="4534" w:type="dxa"/>
            <w:vAlign w:val="center"/>
          </w:tcPr>
          <w:p w:rsidR="00E17FF3" w:rsidRDefault="00FC374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所在单位</w:t>
            </w:r>
          </w:p>
        </w:tc>
      </w:tr>
      <w:tr w:rsidR="007A7071">
        <w:trPr>
          <w:trHeight w:val="470"/>
          <w:jc w:val="center"/>
        </w:trPr>
        <w:tc>
          <w:tcPr>
            <w:tcW w:w="623" w:type="dxa"/>
            <w:vAlign w:val="center"/>
          </w:tcPr>
          <w:p w:rsidR="007A7071" w:rsidRDefault="007A7071" w:rsidP="007A7071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7695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7A7071">
              <w:rPr>
                <w:rFonts w:ascii="仿宋_GB2312" w:hint="eastAsia"/>
                <w:color w:val="000000"/>
                <w:sz w:val="28"/>
                <w:szCs w:val="28"/>
              </w:rPr>
              <w:t>工程教育认证背景下的第二课堂培养方案设计与实施研究</w:t>
            </w:r>
            <w:r w:rsidRPr="007A7071">
              <w:rPr>
                <w:rFonts w:ascii="仿宋_GB2312" w:hint="eastAsia"/>
                <w:color w:val="000000"/>
                <w:sz w:val="28"/>
                <w:szCs w:val="28"/>
              </w:rPr>
              <w:t>—以国家级一流本科专业资源勘查工程为例</w:t>
            </w:r>
          </w:p>
        </w:tc>
        <w:tc>
          <w:tcPr>
            <w:tcW w:w="1506" w:type="dxa"/>
            <w:vAlign w:val="center"/>
          </w:tcPr>
          <w:p w:rsidR="007A7071" w:rsidRDefault="007A7071" w:rsidP="007A7071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张立强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重点课题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地球科学与技术学院</w:t>
            </w:r>
          </w:p>
        </w:tc>
      </w:tr>
      <w:tr w:rsidR="007A7071">
        <w:trPr>
          <w:trHeight w:val="470"/>
          <w:jc w:val="center"/>
        </w:trPr>
        <w:tc>
          <w:tcPr>
            <w:tcW w:w="623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7695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以第二课堂体系优化提升“课程思政”育人实效路径探索</w:t>
            </w:r>
          </w:p>
        </w:tc>
        <w:tc>
          <w:tcPr>
            <w:tcW w:w="1506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蔡宝平</w:t>
            </w:r>
          </w:p>
        </w:tc>
        <w:tc>
          <w:tcPr>
            <w:tcW w:w="1491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重点课题</w:t>
            </w:r>
          </w:p>
        </w:tc>
        <w:tc>
          <w:tcPr>
            <w:tcW w:w="4534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机电工程学院</w:t>
            </w:r>
          </w:p>
        </w:tc>
      </w:tr>
      <w:tr w:rsidR="007A7071">
        <w:trPr>
          <w:trHeight w:val="450"/>
          <w:jc w:val="center"/>
        </w:trPr>
        <w:tc>
          <w:tcPr>
            <w:tcW w:w="623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7695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工程教育认证背景下的第二课堂培养方案设计与实施研究</w:t>
            </w:r>
          </w:p>
        </w:tc>
        <w:tc>
          <w:tcPr>
            <w:tcW w:w="1506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张锡岭</w:t>
            </w:r>
          </w:p>
        </w:tc>
        <w:tc>
          <w:tcPr>
            <w:tcW w:w="1491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重点课题</w:t>
            </w:r>
          </w:p>
        </w:tc>
        <w:tc>
          <w:tcPr>
            <w:tcW w:w="4534" w:type="dxa"/>
            <w:vAlign w:val="center"/>
          </w:tcPr>
          <w:p w:rsidR="007A7071" w:rsidRPr="0063390B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3390B">
              <w:rPr>
                <w:rFonts w:ascii="仿宋_GB2312" w:hint="eastAsia"/>
                <w:sz w:val="28"/>
                <w:szCs w:val="28"/>
              </w:rPr>
              <w:t>海洋与空间信息学院</w:t>
            </w:r>
          </w:p>
        </w:tc>
      </w:tr>
      <w:tr w:rsidR="007A7071">
        <w:trPr>
          <w:trHeight w:val="450"/>
          <w:jc w:val="center"/>
        </w:trPr>
        <w:tc>
          <w:tcPr>
            <w:tcW w:w="623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7695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color w:val="000000"/>
                <w:sz w:val="28"/>
                <w:szCs w:val="28"/>
              </w:rPr>
              <w:t>“第二课堂”育人体系与第一课堂有效融合的途径探究</w:t>
            </w:r>
          </w:p>
        </w:tc>
        <w:tc>
          <w:tcPr>
            <w:tcW w:w="1506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李莉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海洋与空间信息学院</w:t>
            </w:r>
          </w:p>
        </w:tc>
      </w:tr>
      <w:tr w:rsidR="007A7071">
        <w:trPr>
          <w:trHeight w:val="450"/>
          <w:jc w:val="center"/>
        </w:trPr>
        <w:tc>
          <w:tcPr>
            <w:tcW w:w="623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7695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color w:val="000000"/>
                <w:sz w:val="28"/>
                <w:szCs w:val="28"/>
              </w:rPr>
              <w:t>新工科背景下石油类专业第一第二课堂有机融合探索</w:t>
            </w:r>
          </w:p>
        </w:tc>
        <w:tc>
          <w:tcPr>
            <w:tcW w:w="1506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单珣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石油工程学院</w:t>
            </w:r>
          </w:p>
        </w:tc>
      </w:tr>
      <w:tr w:rsidR="007A7071">
        <w:trPr>
          <w:trHeight w:val="574"/>
          <w:jc w:val="center"/>
        </w:trPr>
        <w:tc>
          <w:tcPr>
            <w:tcW w:w="623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7695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“互联网+”时代高校青年学生网络思想引领理</w:t>
            </w:r>
            <w:bookmarkStart w:id="0" w:name="_GoBack"/>
            <w:bookmarkEnd w:id="0"/>
            <w:r w:rsidRPr="005D1CCF">
              <w:rPr>
                <w:rFonts w:ascii="仿宋_GB2312" w:hint="eastAsia"/>
                <w:sz w:val="28"/>
                <w:szCs w:val="28"/>
              </w:rPr>
              <w:t>论与实践研究</w:t>
            </w:r>
          </w:p>
        </w:tc>
        <w:tc>
          <w:tcPr>
            <w:tcW w:w="1506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高旭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理学院</w:t>
            </w:r>
          </w:p>
        </w:tc>
      </w:tr>
      <w:tr w:rsidR="007A7071">
        <w:trPr>
          <w:trHeight w:val="574"/>
          <w:jc w:val="center"/>
        </w:trPr>
        <w:tc>
          <w:tcPr>
            <w:tcW w:w="623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95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立德树人视域下提升青马工程实效性的机制与路径研究</w:t>
            </w:r>
          </w:p>
        </w:tc>
        <w:tc>
          <w:tcPr>
            <w:tcW w:w="1506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袁明月</w:t>
            </w:r>
          </w:p>
        </w:tc>
        <w:tc>
          <w:tcPr>
            <w:tcW w:w="1491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马克思主义学院</w:t>
            </w:r>
          </w:p>
        </w:tc>
      </w:tr>
      <w:tr w:rsidR="007A7071">
        <w:trPr>
          <w:trHeight w:val="574"/>
          <w:jc w:val="center"/>
        </w:trPr>
        <w:tc>
          <w:tcPr>
            <w:tcW w:w="623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95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基于本研贯通维度的学生创新创业能力培养策略研究</w:t>
            </w:r>
          </w:p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——以控制科学与工程学院“新星计划”为例</w:t>
            </w:r>
          </w:p>
        </w:tc>
        <w:tc>
          <w:tcPr>
            <w:tcW w:w="1506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蒋仁福</w:t>
            </w:r>
          </w:p>
        </w:tc>
        <w:tc>
          <w:tcPr>
            <w:tcW w:w="1491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控制科学与工程学院</w:t>
            </w:r>
          </w:p>
        </w:tc>
      </w:tr>
      <w:tr w:rsidR="007A7071">
        <w:trPr>
          <w:trHeight w:val="574"/>
          <w:jc w:val="center"/>
        </w:trPr>
        <w:tc>
          <w:tcPr>
            <w:tcW w:w="623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95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高校共青团促进青年学生创新创业服务体系研究</w:t>
            </w:r>
          </w:p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——以中国石油大学（华东）石油工程学院为例</w:t>
            </w:r>
          </w:p>
        </w:tc>
        <w:tc>
          <w:tcPr>
            <w:tcW w:w="1506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李敬皎</w:t>
            </w:r>
          </w:p>
        </w:tc>
        <w:tc>
          <w:tcPr>
            <w:tcW w:w="1491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石油工程学院</w:t>
            </w:r>
          </w:p>
        </w:tc>
      </w:tr>
      <w:tr w:rsidR="007A7071">
        <w:trPr>
          <w:trHeight w:val="574"/>
          <w:jc w:val="center"/>
        </w:trPr>
        <w:tc>
          <w:tcPr>
            <w:tcW w:w="623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0</w:t>
            </w:r>
          </w:p>
        </w:tc>
        <w:tc>
          <w:tcPr>
            <w:tcW w:w="7695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高校共青团社会实践活动育人功能深化发展机制研究</w:t>
            </w:r>
          </w:p>
        </w:tc>
        <w:tc>
          <w:tcPr>
            <w:tcW w:w="1506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邓云强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海洋与空间信息学院</w:t>
            </w:r>
          </w:p>
        </w:tc>
      </w:tr>
      <w:tr w:rsidR="007A7071">
        <w:trPr>
          <w:trHeight w:val="574"/>
          <w:jc w:val="center"/>
        </w:trPr>
        <w:tc>
          <w:tcPr>
            <w:tcW w:w="623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7695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大学生志愿服务活动项目化管理的研究与实践</w:t>
            </w:r>
          </w:p>
        </w:tc>
        <w:tc>
          <w:tcPr>
            <w:tcW w:w="1506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齐瑞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机电工程学院</w:t>
            </w:r>
          </w:p>
        </w:tc>
      </w:tr>
      <w:tr w:rsidR="007A7071">
        <w:trPr>
          <w:trHeight w:val="574"/>
          <w:jc w:val="center"/>
        </w:trPr>
        <w:tc>
          <w:tcPr>
            <w:tcW w:w="623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7695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意识形态安全视域下校园文化话语权提升研究</w:t>
            </w:r>
          </w:p>
        </w:tc>
        <w:tc>
          <w:tcPr>
            <w:tcW w:w="1506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王宁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机电工程学院</w:t>
            </w:r>
          </w:p>
        </w:tc>
      </w:tr>
      <w:tr w:rsidR="007A7071">
        <w:trPr>
          <w:trHeight w:val="470"/>
          <w:jc w:val="center"/>
        </w:trPr>
        <w:tc>
          <w:tcPr>
            <w:tcW w:w="623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7695" w:type="dxa"/>
            <w:vAlign w:val="center"/>
          </w:tcPr>
          <w:p w:rsidR="007A7071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新组建学院文化活动品牌创建及文化育人路径探究</w:t>
            </w:r>
          </w:p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——以中国石油大学（华东）新能源学院为例</w:t>
            </w:r>
          </w:p>
        </w:tc>
        <w:tc>
          <w:tcPr>
            <w:tcW w:w="1506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郭晓静</w:t>
            </w:r>
          </w:p>
        </w:tc>
        <w:tc>
          <w:tcPr>
            <w:tcW w:w="1491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5D1CCF" w:rsidRDefault="007A7071" w:rsidP="007A7071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D1CCF">
              <w:rPr>
                <w:rFonts w:ascii="仿宋_GB2312" w:hint="eastAsia"/>
                <w:sz w:val="28"/>
                <w:szCs w:val="28"/>
              </w:rPr>
              <w:t>新能源学院</w:t>
            </w:r>
          </w:p>
        </w:tc>
      </w:tr>
      <w:tr w:rsidR="007A7071">
        <w:trPr>
          <w:trHeight w:val="470"/>
          <w:jc w:val="center"/>
        </w:trPr>
        <w:tc>
          <w:tcPr>
            <w:tcW w:w="623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95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高校共青团改革背景下关于二级团校建设的实践与思考</w:t>
            </w:r>
          </w:p>
        </w:tc>
        <w:tc>
          <w:tcPr>
            <w:tcW w:w="1506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闫娜</w:t>
            </w:r>
          </w:p>
        </w:tc>
        <w:tc>
          <w:tcPr>
            <w:tcW w:w="1491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控制科学与和工程学院</w:t>
            </w:r>
          </w:p>
        </w:tc>
      </w:tr>
      <w:tr w:rsidR="007A7071">
        <w:trPr>
          <w:trHeight w:val="470"/>
          <w:jc w:val="center"/>
        </w:trPr>
        <w:tc>
          <w:tcPr>
            <w:tcW w:w="623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95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一体化育人视阈下基层团组织活力提升路径和机制研究</w:t>
            </w:r>
          </w:p>
        </w:tc>
        <w:tc>
          <w:tcPr>
            <w:tcW w:w="1506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李昀泽</w:t>
            </w:r>
          </w:p>
        </w:tc>
        <w:tc>
          <w:tcPr>
            <w:tcW w:w="1491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一般课题</w:t>
            </w:r>
          </w:p>
        </w:tc>
        <w:tc>
          <w:tcPr>
            <w:tcW w:w="4534" w:type="dxa"/>
            <w:vAlign w:val="center"/>
          </w:tcPr>
          <w:p w:rsidR="007A7071" w:rsidRPr="00217D0C" w:rsidRDefault="007A7071" w:rsidP="007A7071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217D0C">
              <w:rPr>
                <w:rFonts w:ascii="仿宋_GB2312" w:hint="eastAsia"/>
                <w:color w:val="000000" w:themeColor="text1"/>
                <w:sz w:val="28"/>
                <w:szCs w:val="28"/>
              </w:rPr>
              <w:t>石油工程学院</w:t>
            </w:r>
          </w:p>
        </w:tc>
      </w:tr>
    </w:tbl>
    <w:p w:rsidR="00E17FF3" w:rsidRDefault="00E17FF3">
      <w:pPr>
        <w:jc w:val="center"/>
        <w:rPr>
          <w:rFonts w:ascii="仿宋_GB2312"/>
          <w:sz w:val="2"/>
          <w:szCs w:val="2"/>
        </w:rPr>
      </w:pPr>
    </w:p>
    <w:sectPr w:rsidR="00E17FF3">
      <w:pgSz w:w="16838" w:h="11906" w:orient="landscape"/>
      <w:pgMar w:top="1134" w:right="2098" w:bottom="1191" w:left="1985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97" w:rsidRDefault="00256D97" w:rsidP="0063390B">
      <w:r>
        <w:separator/>
      </w:r>
    </w:p>
  </w:endnote>
  <w:endnote w:type="continuationSeparator" w:id="0">
    <w:p w:rsidR="00256D97" w:rsidRDefault="00256D97" w:rsidP="006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rif">
    <w:altName w:val="Segoe Print"/>
    <w:charset w:val="00"/>
    <w:family w:val="auto"/>
    <w:pitch w:val="default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97" w:rsidRDefault="00256D97" w:rsidP="0063390B">
      <w:r>
        <w:separator/>
      </w:r>
    </w:p>
  </w:footnote>
  <w:footnote w:type="continuationSeparator" w:id="0">
    <w:p w:rsidR="00256D97" w:rsidRDefault="00256D97" w:rsidP="0063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6"/>
    <w:rsid w:val="00022244"/>
    <w:rsid w:val="000378ED"/>
    <w:rsid w:val="00073692"/>
    <w:rsid w:val="00094338"/>
    <w:rsid w:val="000E0B15"/>
    <w:rsid w:val="00217D0C"/>
    <w:rsid w:val="0023548B"/>
    <w:rsid w:val="00256D97"/>
    <w:rsid w:val="00310925"/>
    <w:rsid w:val="0032242E"/>
    <w:rsid w:val="00476D55"/>
    <w:rsid w:val="004A5722"/>
    <w:rsid w:val="004C32DA"/>
    <w:rsid w:val="004C59E9"/>
    <w:rsid w:val="0053326F"/>
    <w:rsid w:val="00543AF9"/>
    <w:rsid w:val="005546AA"/>
    <w:rsid w:val="005D1CCF"/>
    <w:rsid w:val="0063390B"/>
    <w:rsid w:val="00637BF5"/>
    <w:rsid w:val="00654A88"/>
    <w:rsid w:val="007632D6"/>
    <w:rsid w:val="007A7019"/>
    <w:rsid w:val="007A7071"/>
    <w:rsid w:val="007B7299"/>
    <w:rsid w:val="007C3599"/>
    <w:rsid w:val="007F494B"/>
    <w:rsid w:val="00912C39"/>
    <w:rsid w:val="00AA139D"/>
    <w:rsid w:val="00B35D39"/>
    <w:rsid w:val="00B653B8"/>
    <w:rsid w:val="00BB2C5E"/>
    <w:rsid w:val="00BC18F6"/>
    <w:rsid w:val="00BD1A79"/>
    <w:rsid w:val="00C61D12"/>
    <w:rsid w:val="00C90562"/>
    <w:rsid w:val="00CF5A8A"/>
    <w:rsid w:val="00D22FBB"/>
    <w:rsid w:val="00D966BF"/>
    <w:rsid w:val="00E17FF3"/>
    <w:rsid w:val="00E8630F"/>
    <w:rsid w:val="00FC3748"/>
    <w:rsid w:val="068655B2"/>
    <w:rsid w:val="6E7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89B40-3BA7-4C02-ABE0-EF25B043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/>
      <w:kern w:val="2"/>
      <w:sz w:val="18"/>
      <w:szCs w:val="18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serif" w:eastAsia="serif" w:cs="serif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dell</cp:lastModifiedBy>
  <cp:revision>15</cp:revision>
  <cp:lastPrinted>2019-10-23T00:17:00Z</cp:lastPrinted>
  <dcterms:created xsi:type="dcterms:W3CDTF">2020-12-18T03:44:00Z</dcterms:created>
  <dcterms:modified xsi:type="dcterms:W3CDTF">2020-12-30T07:46:00Z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