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A6D6" w14:textId="604218DF" w:rsidR="001D6F1A" w:rsidRPr="001D6F1A" w:rsidRDefault="001D6F1A" w:rsidP="001D6F1A">
      <w:pPr>
        <w:spacing w:after="0" w:line="560" w:lineRule="exact"/>
        <w:rPr>
          <w:rFonts w:hint="eastAsia"/>
          <w:sz w:val="32"/>
          <w:szCs w:val="32"/>
        </w:rPr>
      </w:pPr>
      <w:r w:rsidRPr="001D6F1A">
        <w:rPr>
          <w:rFonts w:hint="eastAsia"/>
          <w:sz w:val="32"/>
          <w:szCs w:val="32"/>
        </w:rPr>
        <w:t>附件2</w:t>
      </w:r>
    </w:p>
    <w:p w14:paraId="5A457554" w14:textId="77777777" w:rsidR="00D212C6" w:rsidRDefault="00D212C6" w:rsidP="00D212C6">
      <w:pPr>
        <w:pStyle w:val="11"/>
        <w:numPr>
          <w:ilvl w:val="0"/>
          <w:numId w:val="2"/>
        </w:numPr>
        <w:spacing w:after="0" w:line="560" w:lineRule="exact"/>
        <w:ind w:firstLine="640"/>
        <w:rPr>
          <w:rFonts w:ascii="黑体" w:eastAsia="黑体" w:hAnsi="黑体" w:hint="eastAsia"/>
          <w:sz w:val="32"/>
          <w:szCs w:val="32"/>
          <w:lang w:bidi="ar"/>
        </w:rPr>
      </w:pPr>
      <w:r>
        <w:rPr>
          <w:rFonts w:ascii="黑体" w:eastAsia="黑体" w:hAnsi="黑体"/>
          <w:sz w:val="32"/>
          <w:szCs w:val="32"/>
          <w:lang w:bidi="ar"/>
        </w:rPr>
        <w:t>赛道设置</w:t>
      </w:r>
    </w:p>
    <w:p w14:paraId="35B2FCD2" w14:textId="77777777" w:rsidR="00D212C6" w:rsidRDefault="00D212C6" w:rsidP="00D212C6">
      <w:pPr>
        <w:spacing w:after="0" w:line="560" w:lineRule="exact"/>
        <w:ind w:firstLineChars="200" w:firstLine="640"/>
        <w:jc w:val="left"/>
        <w:rPr>
          <w:rFonts w:hint="eastAsia"/>
          <w:sz w:val="22"/>
          <w:szCs w:val="20"/>
        </w:rPr>
      </w:pPr>
      <w:r>
        <w:rPr>
          <w:rFonts w:ascii="仿宋_GB2312" w:eastAsia="仿宋_GB2312" w:hAnsi="仿宋_GB2312" w:cs="仿宋_GB2312" w:hint="eastAsia"/>
          <w:kern w:val="0"/>
          <w:sz w:val="32"/>
          <w:szCs w:val="32"/>
        </w:rPr>
        <w:t>大赛共设置五大产业赛道。</w:t>
      </w:r>
    </w:p>
    <w:tbl>
      <w:tblPr>
        <w:tblStyle w:val="af5"/>
        <w:tblW w:w="0" w:type="auto"/>
        <w:tblLook w:val="04A0" w:firstRow="1" w:lastRow="0" w:firstColumn="1" w:lastColumn="0" w:noHBand="0" w:noVBand="1"/>
      </w:tblPr>
      <w:tblGrid>
        <w:gridCol w:w="2906"/>
        <w:gridCol w:w="5390"/>
      </w:tblGrid>
      <w:tr w:rsidR="00D212C6" w14:paraId="59D7F966" w14:textId="77777777" w:rsidTr="00E84B7D">
        <w:trPr>
          <w:trHeight w:val="624"/>
        </w:trPr>
        <w:tc>
          <w:tcPr>
            <w:tcW w:w="3169" w:type="dxa"/>
            <w:vAlign w:val="center"/>
          </w:tcPr>
          <w:p w14:paraId="2E99CDF2" w14:textId="77777777" w:rsidR="00D212C6" w:rsidRDefault="00D212C6" w:rsidP="00E84B7D">
            <w:pPr>
              <w:pStyle w:val="a0"/>
              <w:spacing w:line="560" w:lineRule="exact"/>
              <w:jc w:val="center"/>
              <w:rPr>
                <w:rFonts w:ascii="仿宋" w:eastAsia="仿宋" w:hAnsi="仿宋" w:cs="仿宋" w:hint="eastAsia"/>
                <w:sz w:val="30"/>
                <w:szCs w:val="30"/>
              </w:rPr>
            </w:pPr>
            <w:r>
              <w:rPr>
                <w:rFonts w:ascii="仿宋" w:eastAsia="仿宋" w:hAnsi="仿宋" w:cs="仿宋" w:hint="eastAsia"/>
                <w:sz w:val="30"/>
                <w:szCs w:val="30"/>
              </w:rPr>
              <w:t>赛道</w:t>
            </w:r>
          </w:p>
        </w:tc>
        <w:tc>
          <w:tcPr>
            <w:tcW w:w="5892" w:type="dxa"/>
            <w:vAlign w:val="center"/>
          </w:tcPr>
          <w:p w14:paraId="5D7E8598" w14:textId="77777777" w:rsidR="00D212C6" w:rsidRDefault="00D212C6" w:rsidP="00E84B7D">
            <w:pPr>
              <w:pStyle w:val="a0"/>
              <w:spacing w:line="560" w:lineRule="exact"/>
              <w:jc w:val="center"/>
              <w:rPr>
                <w:rFonts w:ascii="仿宋" w:eastAsia="仿宋" w:hAnsi="仿宋" w:cs="仿宋" w:hint="eastAsia"/>
                <w:sz w:val="30"/>
                <w:szCs w:val="30"/>
              </w:rPr>
            </w:pPr>
            <w:r>
              <w:rPr>
                <w:rFonts w:ascii="仿宋" w:eastAsia="仿宋" w:hAnsi="仿宋" w:cs="仿宋" w:hint="eastAsia"/>
                <w:sz w:val="30"/>
                <w:szCs w:val="30"/>
              </w:rPr>
              <w:t>赛道说明</w:t>
            </w:r>
          </w:p>
        </w:tc>
      </w:tr>
      <w:tr w:rsidR="00D212C6" w14:paraId="461461C4" w14:textId="77777777" w:rsidTr="00E84B7D">
        <w:trPr>
          <w:trHeight w:val="624"/>
        </w:trPr>
        <w:tc>
          <w:tcPr>
            <w:tcW w:w="3169" w:type="dxa"/>
            <w:vAlign w:val="center"/>
          </w:tcPr>
          <w:p w14:paraId="4D87AE72" w14:textId="77777777" w:rsidR="00D212C6" w:rsidRDefault="00D212C6" w:rsidP="00E84B7D">
            <w:pPr>
              <w:pStyle w:val="a0"/>
              <w:spacing w:line="560" w:lineRule="exact"/>
              <w:jc w:val="center"/>
              <w:rPr>
                <w:rFonts w:ascii="仿宋" w:eastAsia="仿宋" w:hAnsi="仿宋" w:cs="仿宋" w:hint="eastAsia"/>
                <w:sz w:val="30"/>
                <w:szCs w:val="30"/>
              </w:rPr>
            </w:pPr>
            <w:r>
              <w:rPr>
                <w:rFonts w:ascii="仿宋" w:eastAsia="仿宋" w:hAnsi="仿宋" w:cs="仿宋" w:hint="eastAsia"/>
                <w:sz w:val="30"/>
                <w:szCs w:val="30"/>
              </w:rPr>
              <w:t>新一代信息技术和人工智能</w:t>
            </w:r>
          </w:p>
        </w:tc>
        <w:tc>
          <w:tcPr>
            <w:tcW w:w="5892" w:type="dxa"/>
            <w:vAlign w:val="center"/>
          </w:tcPr>
          <w:p w14:paraId="693C36EF" w14:textId="77777777" w:rsidR="00D212C6" w:rsidRDefault="00D212C6" w:rsidP="00E84B7D">
            <w:pPr>
              <w:pStyle w:val="a0"/>
              <w:spacing w:line="560" w:lineRule="exact"/>
              <w:rPr>
                <w:rFonts w:ascii="仿宋" w:eastAsia="仿宋" w:hAnsi="仿宋" w:cs="仿宋" w:hint="eastAsia"/>
                <w:sz w:val="30"/>
                <w:szCs w:val="30"/>
              </w:rPr>
            </w:pPr>
            <w:r>
              <w:rPr>
                <w:rFonts w:ascii="仿宋" w:eastAsia="仿宋" w:hAnsi="仿宋" w:cs="仿宋"/>
                <w:sz w:val="30"/>
                <w:szCs w:val="30"/>
              </w:rPr>
              <w:t>重点面向磁存储芯片、先进封装、新型显示技术、海洋领域大模型、垂直领域大模型、人形机器人、数字乡村等方向。</w:t>
            </w:r>
          </w:p>
        </w:tc>
      </w:tr>
      <w:tr w:rsidR="00D212C6" w14:paraId="3A526AD9" w14:textId="77777777" w:rsidTr="00E84B7D">
        <w:trPr>
          <w:trHeight w:val="624"/>
        </w:trPr>
        <w:tc>
          <w:tcPr>
            <w:tcW w:w="3169" w:type="dxa"/>
            <w:vAlign w:val="center"/>
          </w:tcPr>
          <w:p w14:paraId="16F7681C" w14:textId="77777777" w:rsidR="00D212C6" w:rsidRDefault="00D212C6" w:rsidP="00E84B7D">
            <w:pPr>
              <w:pStyle w:val="a0"/>
              <w:spacing w:line="560" w:lineRule="exact"/>
              <w:jc w:val="center"/>
              <w:rPr>
                <w:rFonts w:ascii="仿宋" w:eastAsia="仿宋" w:hAnsi="仿宋" w:cs="仿宋" w:hint="eastAsia"/>
                <w:sz w:val="30"/>
                <w:szCs w:val="30"/>
              </w:rPr>
            </w:pPr>
            <w:r>
              <w:rPr>
                <w:rFonts w:ascii="仿宋" w:eastAsia="仿宋" w:hAnsi="仿宋" w:cs="仿宋" w:hint="eastAsia"/>
                <w:sz w:val="30"/>
                <w:szCs w:val="30"/>
              </w:rPr>
              <w:t>生命健康</w:t>
            </w:r>
          </w:p>
        </w:tc>
        <w:tc>
          <w:tcPr>
            <w:tcW w:w="5892" w:type="dxa"/>
            <w:vAlign w:val="center"/>
          </w:tcPr>
          <w:p w14:paraId="2C61ADB9" w14:textId="77777777" w:rsidR="00D212C6" w:rsidRDefault="00D212C6" w:rsidP="00E84B7D">
            <w:pPr>
              <w:pStyle w:val="a0"/>
              <w:spacing w:line="560" w:lineRule="exact"/>
              <w:jc w:val="left"/>
              <w:rPr>
                <w:rFonts w:ascii="仿宋" w:eastAsia="仿宋" w:hAnsi="仿宋" w:cs="仿宋" w:hint="eastAsia"/>
                <w:sz w:val="30"/>
                <w:szCs w:val="30"/>
              </w:rPr>
            </w:pPr>
            <w:r>
              <w:rPr>
                <w:rFonts w:ascii="仿宋" w:eastAsia="仿宋" w:hAnsi="仿宋" w:cs="仿宋" w:hint="eastAsia"/>
                <w:sz w:val="30"/>
                <w:szCs w:val="30"/>
              </w:rPr>
              <w:t>重点面向生物医药、医疗器械、</w:t>
            </w:r>
            <w:proofErr w:type="gramStart"/>
            <w:r>
              <w:rPr>
                <w:rFonts w:ascii="仿宋" w:eastAsia="仿宋" w:hAnsi="仿宋" w:cs="仿宋" w:hint="eastAsia"/>
                <w:sz w:val="30"/>
                <w:szCs w:val="30"/>
              </w:rPr>
              <w:t>医养康养</w:t>
            </w:r>
            <w:proofErr w:type="gramEnd"/>
            <w:r>
              <w:rPr>
                <w:rFonts w:ascii="仿宋" w:eastAsia="仿宋" w:hAnsi="仿宋" w:cs="仿宋" w:hint="eastAsia"/>
                <w:sz w:val="30"/>
                <w:szCs w:val="30"/>
              </w:rPr>
              <w:t>、</w:t>
            </w:r>
            <w:proofErr w:type="gramStart"/>
            <w:r>
              <w:rPr>
                <w:rFonts w:ascii="仿宋" w:eastAsia="仿宋" w:hAnsi="仿宋" w:cs="仿宋" w:hint="eastAsia"/>
                <w:sz w:val="30"/>
                <w:szCs w:val="30"/>
              </w:rPr>
              <w:t>乡村康养等</w:t>
            </w:r>
            <w:proofErr w:type="gramEnd"/>
            <w:r>
              <w:rPr>
                <w:rFonts w:ascii="仿宋" w:eastAsia="仿宋" w:hAnsi="仿宋" w:cs="仿宋" w:hint="eastAsia"/>
                <w:sz w:val="30"/>
                <w:szCs w:val="30"/>
              </w:rPr>
              <w:t>方向。</w:t>
            </w:r>
          </w:p>
        </w:tc>
      </w:tr>
      <w:tr w:rsidR="00D212C6" w14:paraId="4751B497" w14:textId="77777777" w:rsidTr="00E84B7D">
        <w:trPr>
          <w:trHeight w:val="624"/>
        </w:trPr>
        <w:tc>
          <w:tcPr>
            <w:tcW w:w="3169" w:type="dxa"/>
            <w:vAlign w:val="center"/>
          </w:tcPr>
          <w:p w14:paraId="06D9DC1B" w14:textId="77777777" w:rsidR="00D212C6" w:rsidRDefault="00D212C6" w:rsidP="00E84B7D">
            <w:pPr>
              <w:pStyle w:val="a0"/>
              <w:spacing w:line="560" w:lineRule="exact"/>
              <w:jc w:val="center"/>
              <w:rPr>
                <w:rFonts w:ascii="仿宋" w:eastAsia="仿宋" w:hAnsi="仿宋" w:cs="仿宋" w:hint="eastAsia"/>
                <w:sz w:val="30"/>
                <w:szCs w:val="30"/>
              </w:rPr>
            </w:pPr>
            <w:r>
              <w:rPr>
                <w:rFonts w:ascii="仿宋" w:eastAsia="仿宋" w:hAnsi="仿宋" w:cs="仿宋" w:hint="eastAsia"/>
                <w:sz w:val="30"/>
                <w:szCs w:val="30"/>
              </w:rPr>
              <w:t>绿色能源</w:t>
            </w:r>
          </w:p>
        </w:tc>
        <w:tc>
          <w:tcPr>
            <w:tcW w:w="5892" w:type="dxa"/>
            <w:vAlign w:val="center"/>
          </w:tcPr>
          <w:p w14:paraId="6EDDA00B" w14:textId="77777777" w:rsidR="00D212C6" w:rsidRDefault="00D212C6" w:rsidP="00E84B7D">
            <w:pPr>
              <w:pStyle w:val="a0"/>
              <w:spacing w:line="560" w:lineRule="exact"/>
              <w:jc w:val="left"/>
              <w:rPr>
                <w:rFonts w:ascii="仿宋" w:eastAsia="仿宋" w:hAnsi="仿宋" w:cs="仿宋" w:hint="eastAsia"/>
                <w:sz w:val="30"/>
                <w:szCs w:val="30"/>
              </w:rPr>
            </w:pPr>
            <w:r>
              <w:rPr>
                <w:rFonts w:ascii="仿宋" w:eastAsia="仿宋" w:hAnsi="仿宋" w:cs="仿宋" w:hint="eastAsia"/>
                <w:sz w:val="30"/>
                <w:szCs w:val="30"/>
              </w:rPr>
              <w:t>重点面向风电、光伏、氢能、储能、</w:t>
            </w:r>
            <w:proofErr w:type="gramStart"/>
            <w:r>
              <w:rPr>
                <w:rFonts w:ascii="仿宋" w:eastAsia="仿宋" w:hAnsi="仿宋" w:cs="仿宋" w:hint="eastAsia"/>
                <w:sz w:val="30"/>
                <w:szCs w:val="30"/>
              </w:rPr>
              <w:t>零碳村庄</w:t>
            </w:r>
            <w:proofErr w:type="gramEnd"/>
            <w:r>
              <w:rPr>
                <w:rFonts w:ascii="仿宋" w:eastAsia="仿宋" w:hAnsi="仿宋" w:cs="仿宋" w:hint="eastAsia"/>
                <w:sz w:val="30"/>
                <w:szCs w:val="30"/>
              </w:rPr>
              <w:t>打造等方向。</w:t>
            </w:r>
          </w:p>
        </w:tc>
      </w:tr>
      <w:tr w:rsidR="00D212C6" w14:paraId="569952F2" w14:textId="77777777" w:rsidTr="00E84B7D">
        <w:trPr>
          <w:trHeight w:val="624"/>
        </w:trPr>
        <w:tc>
          <w:tcPr>
            <w:tcW w:w="3169" w:type="dxa"/>
            <w:vAlign w:val="center"/>
          </w:tcPr>
          <w:p w14:paraId="2489E298" w14:textId="77777777" w:rsidR="00D212C6" w:rsidRDefault="00D212C6" w:rsidP="00E84B7D">
            <w:pPr>
              <w:pStyle w:val="a0"/>
              <w:spacing w:line="560" w:lineRule="exact"/>
              <w:jc w:val="center"/>
              <w:rPr>
                <w:rFonts w:ascii="仿宋" w:eastAsia="仿宋" w:hAnsi="仿宋" w:cs="仿宋" w:hint="eastAsia"/>
                <w:sz w:val="30"/>
                <w:szCs w:val="30"/>
              </w:rPr>
            </w:pPr>
            <w:r>
              <w:rPr>
                <w:rFonts w:ascii="仿宋" w:eastAsia="仿宋" w:hAnsi="仿宋" w:cs="仿宋" w:hint="eastAsia"/>
                <w:sz w:val="30"/>
                <w:szCs w:val="30"/>
              </w:rPr>
              <w:t>智能家电</w:t>
            </w:r>
          </w:p>
        </w:tc>
        <w:tc>
          <w:tcPr>
            <w:tcW w:w="5892" w:type="dxa"/>
            <w:vAlign w:val="center"/>
          </w:tcPr>
          <w:p w14:paraId="58C69D9C" w14:textId="77777777" w:rsidR="00D212C6" w:rsidRDefault="00D212C6" w:rsidP="00E84B7D">
            <w:pPr>
              <w:pStyle w:val="a0"/>
              <w:spacing w:line="560" w:lineRule="exact"/>
              <w:jc w:val="left"/>
              <w:rPr>
                <w:rFonts w:ascii="仿宋" w:eastAsia="仿宋" w:hAnsi="仿宋" w:cs="仿宋" w:hint="eastAsia"/>
                <w:sz w:val="30"/>
                <w:szCs w:val="30"/>
              </w:rPr>
            </w:pPr>
            <w:r>
              <w:rPr>
                <w:rFonts w:ascii="仿宋" w:eastAsia="仿宋" w:hAnsi="仿宋" w:cs="仿宋" w:hint="eastAsia"/>
                <w:sz w:val="30"/>
                <w:szCs w:val="30"/>
              </w:rPr>
              <w:t>重点面向智能家居、视听电子、农村生活场景智能化升级等方向。</w:t>
            </w:r>
          </w:p>
        </w:tc>
      </w:tr>
      <w:tr w:rsidR="00D212C6" w14:paraId="344B6EEE" w14:textId="77777777" w:rsidTr="00E84B7D">
        <w:trPr>
          <w:trHeight w:val="624"/>
        </w:trPr>
        <w:tc>
          <w:tcPr>
            <w:tcW w:w="3169" w:type="dxa"/>
            <w:vAlign w:val="center"/>
          </w:tcPr>
          <w:p w14:paraId="530FEF9F" w14:textId="77777777" w:rsidR="00D212C6" w:rsidRDefault="00D212C6" w:rsidP="00E84B7D">
            <w:pPr>
              <w:pStyle w:val="a0"/>
              <w:spacing w:line="560" w:lineRule="exact"/>
              <w:jc w:val="center"/>
              <w:rPr>
                <w:rFonts w:ascii="仿宋" w:eastAsia="仿宋" w:hAnsi="仿宋" w:cs="仿宋" w:hint="eastAsia"/>
                <w:sz w:val="30"/>
                <w:szCs w:val="30"/>
              </w:rPr>
            </w:pPr>
            <w:r>
              <w:rPr>
                <w:rFonts w:ascii="仿宋" w:eastAsia="仿宋" w:hAnsi="仿宋" w:cs="仿宋" w:hint="eastAsia"/>
                <w:sz w:val="30"/>
                <w:szCs w:val="30"/>
              </w:rPr>
              <w:t>高端化工与新材料</w:t>
            </w:r>
          </w:p>
        </w:tc>
        <w:tc>
          <w:tcPr>
            <w:tcW w:w="5892" w:type="dxa"/>
            <w:vAlign w:val="center"/>
          </w:tcPr>
          <w:p w14:paraId="25687B35" w14:textId="77777777" w:rsidR="00D212C6" w:rsidRDefault="00D212C6" w:rsidP="00E84B7D">
            <w:pPr>
              <w:pStyle w:val="a0"/>
              <w:spacing w:line="560" w:lineRule="exact"/>
              <w:jc w:val="left"/>
              <w:rPr>
                <w:rFonts w:ascii="仿宋" w:eastAsia="仿宋" w:hAnsi="仿宋" w:cs="仿宋" w:hint="eastAsia"/>
                <w:sz w:val="30"/>
                <w:szCs w:val="30"/>
              </w:rPr>
            </w:pPr>
            <w:r>
              <w:rPr>
                <w:rFonts w:ascii="仿宋" w:eastAsia="仿宋" w:hAnsi="仿宋" w:cs="仿宋" w:hint="eastAsia"/>
                <w:sz w:val="30"/>
                <w:szCs w:val="30"/>
              </w:rPr>
              <w:t>重点面向化工新材料、绿色橡胶、先进合金、农业增效材料等方向。</w:t>
            </w:r>
          </w:p>
        </w:tc>
      </w:tr>
    </w:tbl>
    <w:p w14:paraId="4CEB6FA9" w14:textId="77777777" w:rsidR="00D212C6" w:rsidRDefault="00D212C6" w:rsidP="00D212C6">
      <w:pPr>
        <w:pStyle w:val="11"/>
        <w:numPr>
          <w:ilvl w:val="0"/>
          <w:numId w:val="2"/>
        </w:numPr>
        <w:spacing w:after="0" w:line="560" w:lineRule="exact"/>
        <w:ind w:firstLine="640"/>
        <w:rPr>
          <w:rFonts w:ascii="黑体" w:eastAsia="黑体" w:hAnsi="黑体" w:hint="eastAsia"/>
          <w:sz w:val="32"/>
          <w:szCs w:val="32"/>
          <w:lang w:bidi="ar"/>
        </w:rPr>
      </w:pPr>
      <w:r>
        <w:rPr>
          <w:rFonts w:ascii="黑体" w:eastAsia="黑体" w:hAnsi="黑体"/>
          <w:sz w:val="32"/>
          <w:szCs w:val="32"/>
          <w:lang w:bidi="ar"/>
        </w:rPr>
        <w:t>赛程安排</w:t>
      </w:r>
    </w:p>
    <w:p w14:paraId="7F278001" w14:textId="77777777" w:rsidR="00D212C6" w:rsidRDefault="00D212C6" w:rsidP="00D212C6">
      <w:pPr>
        <w:spacing w:after="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大赛按照“启动报名-初赛评审-复赛路演-决赛集训-决赛及颁奖仪式-跟踪扶持及奖金发放”程序依次进行。</w:t>
      </w:r>
    </w:p>
    <w:p w14:paraId="2966AFDC" w14:textId="77777777" w:rsidR="00D212C6" w:rsidRDefault="00D212C6" w:rsidP="00D212C6">
      <w:pPr>
        <w:numPr>
          <w:ilvl w:val="0"/>
          <w:numId w:val="1"/>
        </w:numPr>
        <w:spacing w:after="0" w:line="560" w:lineRule="exact"/>
        <w:ind w:firstLineChars="200" w:firstLine="640"/>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启动报名（自公告发布之日至2025年7月11日）</w:t>
      </w:r>
    </w:p>
    <w:p w14:paraId="63754A62" w14:textId="77777777" w:rsidR="00D212C6" w:rsidRDefault="00D212C6" w:rsidP="00D212C6">
      <w:pPr>
        <w:spacing w:after="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通过“青创通·青岛市创业服务云平台”开启大赛报名，在</w:t>
      </w:r>
      <w:r>
        <w:rPr>
          <w:rFonts w:ascii="仿宋_GB2312" w:eastAsia="仿宋_GB2312" w:hAnsi="仿宋_GB2312" w:cs="仿宋_GB2312" w:hint="eastAsia"/>
          <w:sz w:val="32"/>
          <w:szCs w:val="32"/>
        </w:rPr>
        <w:t>青岛、南京、西安、成都</w:t>
      </w:r>
      <w:r>
        <w:rPr>
          <w:rFonts w:ascii="仿宋_GB2312" w:eastAsia="仿宋_GB2312" w:hAnsi="仿宋_GB2312" w:cs="仿宋_GB2312" w:hint="eastAsia"/>
          <w:kern w:val="0"/>
          <w:sz w:val="32"/>
          <w:szCs w:val="32"/>
        </w:rPr>
        <w:t>四个赛区开展系列进园区、进校园赛事推介活动。对报名项目同步进行资格审</w:t>
      </w:r>
      <w:r>
        <w:rPr>
          <w:rFonts w:ascii="仿宋_GB2312" w:eastAsia="仿宋_GB2312" w:hAnsi="仿宋_GB2312" w:cs="仿宋_GB2312" w:hint="eastAsia"/>
          <w:kern w:val="0"/>
          <w:sz w:val="32"/>
          <w:szCs w:val="32"/>
        </w:rPr>
        <w:lastRenderedPageBreak/>
        <w:t>查，筛选符合参赛条件项目进入初赛评审。</w:t>
      </w:r>
    </w:p>
    <w:p w14:paraId="25B38C09" w14:textId="77777777" w:rsidR="00D212C6" w:rsidRDefault="00D212C6" w:rsidP="00D212C6">
      <w:pPr>
        <w:numPr>
          <w:ilvl w:val="0"/>
          <w:numId w:val="1"/>
        </w:numPr>
        <w:spacing w:after="0" w:line="560" w:lineRule="exact"/>
        <w:ind w:firstLineChars="200" w:firstLine="640"/>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初赛评审（2025年7月中旬）</w:t>
      </w:r>
    </w:p>
    <w:p w14:paraId="74100777" w14:textId="77777777" w:rsidR="00D212C6" w:rsidRDefault="00D212C6" w:rsidP="00D212C6">
      <w:pPr>
        <w:spacing w:after="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组织评审专家对参赛项目进行线上书面汇总评审，根据各赛道参赛项目占比及排名从高到低顺序，筛选前30%项目晋级。</w:t>
      </w:r>
    </w:p>
    <w:p w14:paraId="25FB4409" w14:textId="77777777" w:rsidR="00D212C6" w:rsidRDefault="00D212C6" w:rsidP="00D212C6">
      <w:pPr>
        <w:numPr>
          <w:ilvl w:val="0"/>
          <w:numId w:val="1"/>
        </w:numPr>
        <w:spacing w:after="0" w:line="560" w:lineRule="exact"/>
        <w:ind w:firstLineChars="200" w:firstLine="640"/>
        <w:jc w:val="left"/>
        <w:rPr>
          <w:rFonts w:ascii="仿宋_GB2312" w:eastAsia="仿宋_GB2312" w:hAnsi="仿宋_GB2312" w:cs="仿宋_GB2312" w:hint="eastAsia"/>
          <w:b/>
          <w:bCs/>
          <w:kern w:val="0"/>
          <w:sz w:val="32"/>
          <w:szCs w:val="32"/>
        </w:rPr>
      </w:pPr>
      <w:proofErr w:type="gramStart"/>
      <w:r>
        <w:rPr>
          <w:rFonts w:ascii="仿宋_GB2312" w:eastAsia="仿宋_GB2312" w:hAnsi="仿宋_GB2312" w:cs="仿宋_GB2312" w:hint="eastAsia"/>
          <w:b/>
          <w:bCs/>
          <w:kern w:val="0"/>
          <w:sz w:val="32"/>
          <w:szCs w:val="32"/>
        </w:rPr>
        <w:t>复赛路</w:t>
      </w:r>
      <w:proofErr w:type="gramEnd"/>
      <w:r>
        <w:rPr>
          <w:rFonts w:ascii="仿宋_GB2312" w:eastAsia="仿宋_GB2312" w:hAnsi="仿宋_GB2312" w:cs="仿宋_GB2312" w:hint="eastAsia"/>
          <w:b/>
          <w:bCs/>
          <w:kern w:val="0"/>
          <w:sz w:val="32"/>
          <w:szCs w:val="32"/>
        </w:rPr>
        <w:t>演（2025年7月下旬）</w:t>
      </w:r>
    </w:p>
    <w:p w14:paraId="336DE503" w14:textId="77777777" w:rsidR="00D212C6" w:rsidRDefault="00D212C6" w:rsidP="00D212C6">
      <w:pPr>
        <w:spacing w:after="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分赛道组织评审专家进行线上+线下路演评审，根据项目占比及排名从高到低顺序，遴选前50个项目晋级决赛。复赛期间，策划组织政策推介、园区考察、产业观摩等活动。</w:t>
      </w:r>
    </w:p>
    <w:p w14:paraId="19F77278" w14:textId="77777777" w:rsidR="00D212C6" w:rsidRDefault="00D212C6" w:rsidP="00D212C6">
      <w:pPr>
        <w:numPr>
          <w:ilvl w:val="0"/>
          <w:numId w:val="1"/>
        </w:numPr>
        <w:spacing w:after="0" w:line="560" w:lineRule="exact"/>
        <w:ind w:firstLineChars="200" w:firstLine="640"/>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决赛集训（2025年8月）</w:t>
      </w:r>
    </w:p>
    <w:p w14:paraId="44EF18EB" w14:textId="77777777" w:rsidR="00D212C6" w:rsidRDefault="00D212C6" w:rsidP="00D212C6">
      <w:pPr>
        <w:spacing w:after="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50强团队集聚青岛参加创业加速营，接受创业导师一对一辅导，为参赛选手提供商业计划书打磨、路演培训、产业园区观摩等赛前指导。</w:t>
      </w:r>
    </w:p>
    <w:p w14:paraId="239BD979" w14:textId="77777777" w:rsidR="00D212C6" w:rsidRDefault="00D212C6" w:rsidP="00D212C6">
      <w:pPr>
        <w:numPr>
          <w:ilvl w:val="0"/>
          <w:numId w:val="1"/>
        </w:numPr>
        <w:spacing w:after="0" w:line="560" w:lineRule="exact"/>
        <w:ind w:firstLineChars="200" w:firstLine="640"/>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决赛及颁奖仪式（2025年8月）</w:t>
      </w:r>
    </w:p>
    <w:p w14:paraId="2CF2B23A" w14:textId="77777777" w:rsidR="00D212C6" w:rsidRDefault="00D212C6" w:rsidP="00D212C6">
      <w:pPr>
        <w:spacing w:after="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参赛项目在青岛参加决赛，项目代表进行路演答辩，由评审专家对参赛项目现场评审，同期举办大赛颁奖仪式。</w:t>
      </w:r>
    </w:p>
    <w:p w14:paraId="75AC288B" w14:textId="77777777" w:rsidR="00D212C6" w:rsidRDefault="00D212C6" w:rsidP="00D212C6">
      <w:pPr>
        <w:numPr>
          <w:ilvl w:val="0"/>
          <w:numId w:val="1"/>
        </w:numPr>
        <w:spacing w:after="0" w:line="560" w:lineRule="exact"/>
        <w:ind w:firstLineChars="200" w:firstLine="640"/>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跟踪扶持及奖金发放（2025年9月-12月）</w:t>
      </w:r>
    </w:p>
    <w:p w14:paraId="689C55A7" w14:textId="77777777" w:rsidR="00D212C6" w:rsidRDefault="00D212C6" w:rsidP="00D212C6">
      <w:pPr>
        <w:spacing w:after="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获得大赛一、二、三等奖及优秀奖的创业项目纳入青岛市优秀创业项目库，匹配创业导师及创业服务专员，提供不少于3年的“一对一”跟踪陪跑服务，给予政策、场地、资金等跟踪扶持。</w:t>
      </w:r>
    </w:p>
    <w:p w14:paraId="508EDCEE" w14:textId="77777777" w:rsidR="00D212C6" w:rsidRDefault="00D212C6" w:rsidP="00D212C6">
      <w:pPr>
        <w:pStyle w:val="11"/>
        <w:numPr>
          <w:ilvl w:val="0"/>
          <w:numId w:val="2"/>
        </w:numPr>
        <w:spacing w:after="0" w:line="560" w:lineRule="exact"/>
        <w:ind w:firstLine="640"/>
        <w:rPr>
          <w:rFonts w:ascii="黑体" w:eastAsia="黑体" w:hAnsi="黑体" w:hint="eastAsia"/>
          <w:sz w:val="32"/>
          <w:szCs w:val="32"/>
          <w:lang w:bidi="ar"/>
        </w:rPr>
      </w:pPr>
      <w:r>
        <w:rPr>
          <w:rFonts w:ascii="黑体" w:eastAsia="黑体" w:hAnsi="黑体" w:hint="eastAsia"/>
          <w:sz w:val="32"/>
          <w:szCs w:val="32"/>
          <w:lang w:bidi="ar"/>
        </w:rPr>
        <w:t>奖励扶持</w:t>
      </w:r>
    </w:p>
    <w:p w14:paraId="13BE7A91" w14:textId="77777777" w:rsidR="00D212C6" w:rsidRDefault="00D212C6" w:rsidP="00D212C6">
      <w:pPr>
        <w:spacing w:after="0" w:line="560"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（一）参赛奖励</w:t>
      </w:r>
    </w:p>
    <w:tbl>
      <w:tblPr>
        <w:tblW w:w="9396" w:type="dxa"/>
        <w:tblInd w:w="93" w:type="dxa"/>
        <w:tblLayout w:type="fixed"/>
        <w:tblLook w:val="04A0" w:firstRow="1" w:lastRow="0" w:firstColumn="1" w:lastColumn="0" w:noHBand="0" w:noVBand="1"/>
      </w:tblPr>
      <w:tblGrid>
        <w:gridCol w:w="2055"/>
        <w:gridCol w:w="2124"/>
        <w:gridCol w:w="2969"/>
        <w:gridCol w:w="2248"/>
      </w:tblGrid>
      <w:tr w:rsidR="00D212C6" w14:paraId="1F324679" w14:textId="77777777" w:rsidTr="00E84B7D">
        <w:trPr>
          <w:trHeight w:val="555"/>
        </w:trPr>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0D9EE" w14:textId="77777777" w:rsidR="00D212C6" w:rsidRDefault="00D212C6" w:rsidP="00E84B7D">
            <w:pPr>
              <w:widowControl/>
              <w:spacing w:after="0" w:line="560" w:lineRule="exact"/>
              <w:jc w:val="center"/>
              <w:textAlignment w:val="center"/>
              <w:rPr>
                <w:rStyle w:val="font01"/>
                <w:rFonts w:ascii="仿宋" w:eastAsia="仿宋" w:hAnsi="仿宋" w:cs="仿宋" w:hint="eastAsia"/>
                <w:color w:val="auto"/>
                <w:sz w:val="30"/>
                <w:szCs w:val="30"/>
                <w:lang w:bidi="ar"/>
              </w:rPr>
            </w:pPr>
            <w:r>
              <w:rPr>
                <w:rStyle w:val="font01"/>
                <w:rFonts w:ascii="仿宋" w:eastAsia="仿宋" w:hAnsi="仿宋" w:cs="仿宋" w:hint="eastAsia"/>
                <w:color w:val="auto"/>
                <w:sz w:val="30"/>
                <w:szCs w:val="30"/>
                <w:lang w:bidi="ar"/>
              </w:rPr>
              <w:t>奖项设置</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3D5A" w14:textId="77777777" w:rsidR="00D212C6" w:rsidRDefault="00D212C6" w:rsidP="00E84B7D">
            <w:pPr>
              <w:widowControl/>
              <w:spacing w:after="0" w:line="560" w:lineRule="exact"/>
              <w:jc w:val="center"/>
              <w:textAlignment w:val="center"/>
              <w:rPr>
                <w:rStyle w:val="font01"/>
                <w:rFonts w:ascii="仿宋" w:eastAsia="仿宋" w:hAnsi="仿宋" w:cs="仿宋" w:hint="eastAsia"/>
                <w:color w:val="auto"/>
                <w:sz w:val="30"/>
                <w:szCs w:val="30"/>
                <w:lang w:bidi="ar"/>
              </w:rPr>
            </w:pPr>
            <w:r>
              <w:rPr>
                <w:rStyle w:val="font01"/>
                <w:rFonts w:ascii="仿宋" w:eastAsia="仿宋" w:hAnsi="仿宋" w:cs="仿宋" w:hint="eastAsia"/>
                <w:color w:val="auto"/>
                <w:sz w:val="30"/>
                <w:szCs w:val="30"/>
                <w:lang w:bidi="ar"/>
              </w:rPr>
              <w:t>奖项数量</w:t>
            </w:r>
          </w:p>
        </w:tc>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F80E1" w14:textId="77777777" w:rsidR="00D212C6" w:rsidRDefault="00D212C6" w:rsidP="00E84B7D">
            <w:pPr>
              <w:widowControl/>
              <w:spacing w:after="0" w:line="560" w:lineRule="exact"/>
              <w:jc w:val="center"/>
              <w:textAlignment w:val="center"/>
              <w:rPr>
                <w:rStyle w:val="font01"/>
                <w:rFonts w:ascii="仿宋" w:eastAsia="仿宋" w:hAnsi="仿宋" w:cs="仿宋" w:hint="eastAsia"/>
                <w:color w:val="auto"/>
                <w:sz w:val="30"/>
                <w:szCs w:val="30"/>
                <w:lang w:bidi="ar"/>
              </w:rPr>
            </w:pPr>
            <w:r>
              <w:rPr>
                <w:rStyle w:val="font01"/>
                <w:rFonts w:ascii="仿宋" w:eastAsia="仿宋" w:hAnsi="仿宋" w:cs="仿宋" w:hint="eastAsia"/>
                <w:color w:val="auto"/>
                <w:sz w:val="30"/>
                <w:szCs w:val="30"/>
                <w:lang w:bidi="ar"/>
              </w:rPr>
              <w:t>获奖奖金</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03A1D" w14:textId="77777777" w:rsidR="00D212C6" w:rsidRDefault="00D212C6" w:rsidP="00E84B7D">
            <w:pPr>
              <w:widowControl/>
              <w:spacing w:after="0" w:line="560" w:lineRule="exact"/>
              <w:jc w:val="center"/>
              <w:textAlignment w:val="center"/>
              <w:rPr>
                <w:rStyle w:val="font01"/>
                <w:rFonts w:ascii="仿宋" w:eastAsia="仿宋" w:hAnsi="仿宋" w:cs="仿宋" w:hint="eastAsia"/>
                <w:color w:val="auto"/>
                <w:sz w:val="30"/>
                <w:szCs w:val="30"/>
                <w:lang w:bidi="ar"/>
              </w:rPr>
            </w:pPr>
            <w:r>
              <w:rPr>
                <w:rStyle w:val="font01"/>
                <w:rFonts w:ascii="仿宋" w:eastAsia="仿宋" w:hAnsi="仿宋" w:cs="仿宋" w:hint="eastAsia"/>
                <w:color w:val="auto"/>
                <w:sz w:val="30"/>
                <w:szCs w:val="30"/>
                <w:lang w:bidi="ar"/>
              </w:rPr>
              <w:t>落地奖金</w:t>
            </w:r>
          </w:p>
        </w:tc>
      </w:tr>
      <w:tr w:rsidR="00D212C6" w14:paraId="6D8B1355" w14:textId="77777777" w:rsidTr="00E84B7D">
        <w:trPr>
          <w:trHeight w:val="510"/>
        </w:trPr>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664EC"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 xml:space="preserve">一等奖 </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AB12F"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 xml:space="preserve">2个 </w:t>
            </w:r>
          </w:p>
        </w:tc>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C5726"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val="en" w:bidi="ar"/>
              </w:rPr>
            </w:pPr>
            <w:r>
              <w:rPr>
                <w:rStyle w:val="font01"/>
                <w:rFonts w:ascii="仿宋" w:eastAsia="仿宋" w:hAnsi="仿宋" w:cs="仿宋" w:hint="eastAsia"/>
                <w:b w:val="0"/>
                <w:color w:val="auto"/>
                <w:sz w:val="30"/>
                <w:szCs w:val="30"/>
                <w:lang w:bidi="ar"/>
              </w:rPr>
              <w:t>2万元</w:t>
            </w:r>
            <w:r>
              <w:rPr>
                <w:rStyle w:val="font01"/>
                <w:rFonts w:ascii="仿宋" w:eastAsia="仿宋" w:hAnsi="仿宋" w:cs="仿宋" w:hint="eastAsia"/>
                <w:b w:val="0"/>
                <w:color w:val="auto"/>
                <w:sz w:val="30"/>
                <w:szCs w:val="30"/>
                <w:lang w:val="en" w:bidi="ar"/>
              </w:rPr>
              <w:t>+获奖证书</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84F68"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8万元</w:t>
            </w:r>
          </w:p>
        </w:tc>
      </w:tr>
      <w:tr w:rsidR="00D212C6" w14:paraId="30C515B2" w14:textId="77777777" w:rsidTr="00E84B7D">
        <w:trPr>
          <w:trHeight w:val="510"/>
        </w:trPr>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199D2"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二等奖</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6BD2C"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6个</w:t>
            </w:r>
          </w:p>
        </w:tc>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3F716"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1万元</w:t>
            </w:r>
            <w:r>
              <w:rPr>
                <w:rStyle w:val="font01"/>
                <w:rFonts w:ascii="仿宋" w:eastAsia="仿宋" w:hAnsi="仿宋" w:cs="仿宋" w:hint="eastAsia"/>
                <w:b w:val="0"/>
                <w:color w:val="auto"/>
                <w:sz w:val="30"/>
                <w:szCs w:val="30"/>
                <w:lang w:val="en" w:bidi="ar"/>
              </w:rPr>
              <w:t>+获奖证书</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C004"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3万元</w:t>
            </w:r>
          </w:p>
        </w:tc>
      </w:tr>
      <w:tr w:rsidR="00D212C6" w14:paraId="07C84966" w14:textId="77777777" w:rsidTr="00E84B7D">
        <w:trPr>
          <w:trHeight w:val="510"/>
        </w:trPr>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2901"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三等奖</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7CEF3"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10个</w:t>
            </w:r>
          </w:p>
        </w:tc>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B13FA"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0.5万元</w:t>
            </w:r>
            <w:r>
              <w:rPr>
                <w:rStyle w:val="font01"/>
                <w:rFonts w:ascii="仿宋" w:eastAsia="仿宋" w:hAnsi="仿宋" w:cs="仿宋" w:hint="eastAsia"/>
                <w:b w:val="0"/>
                <w:color w:val="auto"/>
                <w:sz w:val="30"/>
                <w:szCs w:val="30"/>
                <w:lang w:val="en" w:bidi="ar"/>
              </w:rPr>
              <w:t>+获奖证书</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A0D2D"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2万元</w:t>
            </w:r>
          </w:p>
        </w:tc>
      </w:tr>
      <w:tr w:rsidR="00D212C6" w14:paraId="20316883" w14:textId="77777777" w:rsidTr="00E84B7D">
        <w:trPr>
          <w:trHeight w:val="510"/>
        </w:trPr>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47D90"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优秀奖</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B6F0"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若干</w:t>
            </w:r>
          </w:p>
        </w:tc>
        <w:tc>
          <w:tcPr>
            <w:tcW w:w="52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13BC73" w14:textId="77777777" w:rsidR="00D212C6" w:rsidRDefault="00D212C6" w:rsidP="00E84B7D">
            <w:pPr>
              <w:widowControl/>
              <w:spacing w:after="0" w:line="560" w:lineRule="exact"/>
              <w:jc w:val="center"/>
              <w:textAlignment w:val="center"/>
              <w:rPr>
                <w:rStyle w:val="font01"/>
                <w:rFonts w:ascii="仿宋" w:eastAsia="仿宋" w:hAnsi="仿宋" w:cs="仿宋" w:hint="eastAsia"/>
                <w:b w:val="0"/>
                <w:bCs/>
                <w:color w:val="auto"/>
                <w:sz w:val="30"/>
                <w:szCs w:val="30"/>
                <w:lang w:bidi="ar"/>
              </w:rPr>
            </w:pPr>
            <w:r>
              <w:rPr>
                <w:rStyle w:val="font01"/>
                <w:rFonts w:ascii="仿宋" w:eastAsia="仿宋" w:hAnsi="仿宋" w:cs="仿宋" w:hint="eastAsia"/>
                <w:b w:val="0"/>
                <w:color w:val="auto"/>
                <w:sz w:val="30"/>
                <w:szCs w:val="30"/>
                <w:lang w:bidi="ar"/>
              </w:rPr>
              <w:t>获奖证书</w:t>
            </w:r>
          </w:p>
        </w:tc>
      </w:tr>
    </w:tbl>
    <w:p w14:paraId="2283302D" w14:textId="77777777" w:rsidR="00D212C6" w:rsidRDefault="00D212C6" w:rsidP="00D212C6">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1.大赛奖金由获奖奖金和落地奖金两部分组成，一、二、三等奖</w:t>
      </w:r>
      <w:r>
        <w:rPr>
          <w:rFonts w:ascii="仿宋_GB2312" w:eastAsia="仿宋_GB2312" w:cs="仿宋_GB2312" w:hint="eastAsia"/>
          <w:sz w:val="32"/>
          <w:szCs w:val="32"/>
        </w:rPr>
        <w:t>获奖项目在规定时间内在青岛辖区注册落地</w:t>
      </w:r>
      <w:r>
        <w:rPr>
          <w:rFonts w:ascii="仿宋_GB2312" w:eastAsia="仿宋_GB2312" w:hAnsi="仿宋_GB2312" w:cs="仿宋_GB2312" w:hint="eastAsia"/>
          <w:sz w:val="32"/>
          <w:szCs w:val="32"/>
        </w:rPr>
        <w:t>并存续经营满3个月及以上的，还可获得落地奖金。新注册企业的注册时间须在赛事公告发布之日以后，第一申报人须为企业法人或显名股东，企业经营范围应与参赛项目一致。青岛辖区内注册企业根据赛后扶持跟进情况进行综合考评，符合相应条件的，可领取落地奖金。获奖项目如为团队，获奖奖金原则上发放给第一申报人。</w:t>
      </w:r>
    </w:p>
    <w:p w14:paraId="1DDBE5DF" w14:textId="77777777" w:rsidR="00D212C6" w:rsidRDefault="00D212C6" w:rsidP="00D212C6">
      <w:pPr>
        <w:pStyle w:val="af4"/>
        <w:widowControl/>
        <w:spacing w:beforeAutospacing="0" w:afterAutospacing="0" w:line="560" w:lineRule="exact"/>
        <w:ind w:firstLine="645"/>
        <w:rPr>
          <w:rFonts w:hint="eastAsia"/>
          <w:sz w:val="32"/>
          <w:szCs w:val="32"/>
        </w:rPr>
      </w:pPr>
      <w:r>
        <w:rPr>
          <w:rFonts w:ascii="仿宋_GB2312" w:eastAsia="仿宋_GB2312" w:cs="仿宋_GB2312" w:hint="eastAsia"/>
          <w:sz w:val="32"/>
          <w:szCs w:val="32"/>
        </w:rPr>
        <w:t>2.设立大赛特别贡献奖、优秀组织奖若干，不设奖金。</w:t>
      </w:r>
    </w:p>
    <w:p w14:paraId="180E6658" w14:textId="77777777" w:rsidR="00D212C6" w:rsidRDefault="00D212C6" w:rsidP="00D212C6">
      <w:pPr>
        <w:spacing w:after="0"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3.设立大赛优秀创业导师奖（获得一、二、三等奖项目的创业导师）、优秀指导老师奖（获得优秀奖及以上的大学生参赛项目指导老师）若干，不设奖金</w:t>
      </w:r>
      <w:r>
        <w:rPr>
          <w:rFonts w:ascii="仿宋_GB2312" w:eastAsia="仿宋_GB2312" w:hAnsi="仿宋_GB2312" w:cs="仿宋_GB2312" w:hint="eastAsia"/>
          <w:sz w:val="32"/>
          <w:szCs w:val="32"/>
        </w:rPr>
        <w:t>。</w:t>
      </w:r>
    </w:p>
    <w:p w14:paraId="7B78F8A2" w14:textId="77777777" w:rsidR="00D212C6" w:rsidRDefault="00D212C6" w:rsidP="00D212C6">
      <w:pPr>
        <w:spacing w:after="0" w:line="560"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（二）参赛扶持</w:t>
      </w:r>
    </w:p>
    <w:p w14:paraId="6AE767AB" w14:textId="77777777" w:rsidR="00D212C6" w:rsidRDefault="00D212C6" w:rsidP="00D212C6">
      <w:pPr>
        <w:spacing w:after="0"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所有晋级决赛项目均纳入青岛市优秀创业项目库，给予以下全链条创业赋能：</w:t>
      </w:r>
    </w:p>
    <w:p w14:paraId="4A80FF09" w14:textId="77777777" w:rsidR="00D212C6" w:rsidRDefault="00D212C6" w:rsidP="00D212C6">
      <w:pPr>
        <w:spacing w:after="0"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1.</w:t>
      </w:r>
      <w:proofErr w:type="gramStart"/>
      <w:r>
        <w:rPr>
          <w:rFonts w:ascii="仿宋_GB2312" w:eastAsia="仿宋_GB2312" w:hAnsi="仿宋_GB2312" w:cs="仿宋_GB2312" w:hint="eastAsia"/>
          <w:b/>
          <w:bCs/>
          <w:kern w:val="0"/>
          <w:sz w:val="32"/>
          <w:szCs w:val="32"/>
        </w:rPr>
        <w:t>创服指导</w:t>
      </w:r>
      <w:proofErr w:type="gramEnd"/>
      <w:r>
        <w:rPr>
          <w:rFonts w:ascii="仿宋_GB2312" w:eastAsia="仿宋_GB2312" w:hAnsi="仿宋_GB2312" w:cs="仿宋_GB2312" w:hint="eastAsia"/>
          <w:b/>
          <w:bCs/>
          <w:kern w:val="0"/>
          <w:sz w:val="32"/>
          <w:szCs w:val="32"/>
        </w:rPr>
        <w:t>：</w:t>
      </w:r>
      <w:r>
        <w:rPr>
          <w:rFonts w:ascii="仿宋_GB2312" w:eastAsia="仿宋_GB2312" w:hAnsi="仿宋_GB2312" w:cs="仿宋_GB2312" w:hint="eastAsia"/>
          <w:kern w:val="0"/>
          <w:sz w:val="32"/>
          <w:szCs w:val="32"/>
        </w:rPr>
        <w:t>按属地化服务原则配备一名区（市）创业服务专员及创业导师，根据项目落地意愿及后续发展需求给予“一对一”指导服务；</w:t>
      </w:r>
    </w:p>
    <w:p w14:paraId="51C4D61C" w14:textId="77777777" w:rsidR="00D212C6" w:rsidRDefault="00D212C6" w:rsidP="00D212C6">
      <w:pPr>
        <w:spacing w:after="0"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lastRenderedPageBreak/>
        <w:t>2.政策申报：</w:t>
      </w:r>
      <w:r>
        <w:rPr>
          <w:rFonts w:ascii="仿宋_GB2312" w:eastAsia="仿宋_GB2312" w:hAnsi="仿宋_GB2312" w:cs="仿宋_GB2312" w:hint="eastAsia"/>
          <w:kern w:val="0"/>
          <w:sz w:val="32"/>
          <w:szCs w:val="32"/>
        </w:rPr>
        <w:t>符合条件的可享受青岛市创业、就业、人才相关补贴政策；</w:t>
      </w:r>
    </w:p>
    <w:p w14:paraId="0756C1D9" w14:textId="77777777" w:rsidR="00D212C6" w:rsidRDefault="00D212C6" w:rsidP="00D212C6">
      <w:pPr>
        <w:pStyle w:val="af1"/>
        <w:spacing w:after="0" w:line="560" w:lineRule="exact"/>
        <w:rPr>
          <w:rFonts w:eastAsia="仿宋_GB2312" w:hint="eastAsia"/>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
          <w:bCs/>
          <w:color w:val="FF0000"/>
          <w:kern w:val="0"/>
          <w:sz w:val="32"/>
          <w:szCs w:val="32"/>
        </w:rPr>
        <w:t xml:space="preserve"> </w:t>
      </w:r>
      <w:r>
        <w:rPr>
          <w:rFonts w:ascii="仿宋_GB2312" w:eastAsia="仿宋_GB2312" w:hAnsi="仿宋_GB2312" w:cs="仿宋_GB2312" w:hint="eastAsia"/>
          <w:b/>
          <w:bCs/>
          <w:kern w:val="0"/>
          <w:sz w:val="32"/>
          <w:szCs w:val="32"/>
        </w:rPr>
        <w:t>3</w:t>
      </w:r>
      <w:r>
        <w:rPr>
          <w:rFonts w:ascii="仿宋_GB2312" w:eastAsia="仿宋_GB2312" w:hAnsi="仿宋_GB2312" w:cs="仿宋_GB2312"/>
          <w:b/>
          <w:bCs/>
          <w:kern w:val="0"/>
          <w:sz w:val="32"/>
          <w:szCs w:val="32"/>
          <w:lang w:val="en"/>
        </w:rPr>
        <w:t>.</w:t>
      </w:r>
      <w:r>
        <w:rPr>
          <w:rFonts w:ascii="仿宋_GB2312" w:eastAsia="仿宋_GB2312" w:hAnsi="仿宋_GB2312" w:cs="仿宋_GB2312" w:hint="eastAsia"/>
          <w:b/>
          <w:bCs/>
          <w:kern w:val="0"/>
          <w:sz w:val="32"/>
          <w:szCs w:val="32"/>
          <w:lang w:val="en"/>
        </w:rPr>
        <w:t>场地直入：</w:t>
      </w:r>
      <w:r>
        <w:rPr>
          <w:rFonts w:ascii="仿宋_GB2312" w:eastAsia="仿宋_GB2312" w:hAnsi="仿宋_GB2312" w:cs="仿宋_GB2312" w:hint="eastAsia"/>
          <w:kern w:val="0"/>
          <w:sz w:val="32"/>
          <w:szCs w:val="32"/>
          <w:lang w:val="en"/>
        </w:rPr>
        <w:t>获得一、二、三等奖的获奖项目</w:t>
      </w:r>
      <w:r>
        <w:rPr>
          <w:rFonts w:ascii="仿宋_GB2312" w:eastAsia="仿宋_GB2312" w:hAnsi="仿宋_GB2312" w:cs="仿宋_GB2312" w:hint="eastAsia"/>
          <w:kern w:val="0"/>
          <w:sz w:val="32"/>
          <w:szCs w:val="32"/>
        </w:rPr>
        <w:t>符合园区入驻条件的，</w:t>
      </w:r>
      <w:r>
        <w:rPr>
          <w:rFonts w:ascii="仿宋_GB2312" w:eastAsia="仿宋_GB2312" w:hAnsi="仿宋_GB2312" w:cs="仿宋_GB2312" w:hint="eastAsia"/>
          <w:kern w:val="0"/>
          <w:sz w:val="32"/>
          <w:szCs w:val="32"/>
          <w:lang w:val="en"/>
        </w:rPr>
        <w:t>可免入驻答辩，直接进驻青岛高层次人才创业中心和</w:t>
      </w:r>
      <w:proofErr w:type="gramStart"/>
      <w:r>
        <w:rPr>
          <w:rFonts w:ascii="仿宋_GB2312" w:eastAsia="仿宋_GB2312" w:hAnsi="仿宋_GB2312" w:cs="仿宋_GB2312" w:hint="eastAsia"/>
          <w:kern w:val="0"/>
          <w:sz w:val="32"/>
          <w:szCs w:val="32"/>
          <w:lang w:val="en"/>
        </w:rPr>
        <w:t>湛山创客</w:t>
      </w:r>
      <w:proofErr w:type="gramEnd"/>
      <w:r>
        <w:rPr>
          <w:rFonts w:ascii="仿宋_GB2312" w:eastAsia="仿宋_GB2312" w:hAnsi="仿宋_GB2312" w:cs="仿宋_GB2312" w:hint="eastAsia"/>
          <w:kern w:val="0"/>
          <w:sz w:val="32"/>
          <w:szCs w:val="32"/>
          <w:lang w:val="en"/>
        </w:rPr>
        <w:t>工厂，享受最高三年房租</w:t>
      </w:r>
      <w:r>
        <w:rPr>
          <w:rFonts w:ascii="仿宋_GB2312" w:eastAsia="仿宋_GB2312" w:hAnsi="仿宋_GB2312" w:cs="仿宋_GB2312" w:hint="eastAsia"/>
          <w:kern w:val="0"/>
          <w:sz w:val="32"/>
          <w:szCs w:val="32"/>
        </w:rPr>
        <w:t>减</w:t>
      </w:r>
      <w:r>
        <w:rPr>
          <w:rFonts w:ascii="仿宋_GB2312" w:eastAsia="仿宋_GB2312" w:hAnsi="仿宋_GB2312" w:cs="仿宋_GB2312" w:hint="eastAsia"/>
          <w:kern w:val="0"/>
          <w:sz w:val="32"/>
          <w:szCs w:val="32"/>
          <w:lang w:val="en"/>
        </w:rPr>
        <w:t>免政策；</w:t>
      </w:r>
    </w:p>
    <w:p w14:paraId="265754DC" w14:textId="77777777" w:rsidR="00D212C6" w:rsidRDefault="00D212C6" w:rsidP="00D212C6">
      <w:pPr>
        <w:spacing w:after="0"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4.创业孵化：</w:t>
      </w:r>
      <w:r>
        <w:rPr>
          <w:rFonts w:ascii="仿宋_GB2312" w:eastAsia="仿宋_GB2312" w:hAnsi="仿宋_GB2312" w:cs="仿宋_GB2312" w:hint="eastAsia"/>
          <w:kern w:val="0"/>
          <w:sz w:val="32"/>
          <w:szCs w:val="32"/>
        </w:rPr>
        <w:t>符合条件的获奖项目，根据产业定位优先推荐入驻青岛市高能级创业孵化园区和全市创业孵化基地（园区），享受一园</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政策，以及人力资源、法律咨询、金融对接等服务；</w:t>
      </w:r>
    </w:p>
    <w:p w14:paraId="7F5F4A25" w14:textId="77777777" w:rsidR="00D212C6" w:rsidRDefault="00D212C6" w:rsidP="00D212C6">
      <w:pPr>
        <w:spacing w:after="0"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5.创业活动：</w:t>
      </w:r>
      <w:r>
        <w:rPr>
          <w:rFonts w:ascii="仿宋_GB2312" w:eastAsia="仿宋_GB2312" w:hAnsi="仿宋_GB2312" w:cs="仿宋_GB2312" w:hint="eastAsia"/>
          <w:kern w:val="0"/>
          <w:sz w:val="32"/>
          <w:szCs w:val="32"/>
        </w:rPr>
        <w:t>优先享受市本级创业沙龙、展示，创业训练营、提升营等活动参与权；</w:t>
      </w:r>
      <w:r>
        <w:rPr>
          <w:rFonts w:ascii="仿宋_GB2312" w:eastAsia="仿宋_GB2312" w:hAnsi="仿宋_GB2312" w:cs="仿宋_GB2312" w:hint="eastAsia"/>
          <w:kern w:val="0"/>
          <w:sz w:val="32"/>
          <w:szCs w:val="32"/>
        </w:rPr>
        <w:tab/>
      </w:r>
    </w:p>
    <w:p w14:paraId="05AC5F90" w14:textId="77777777" w:rsidR="00D212C6" w:rsidRDefault="00D212C6" w:rsidP="00D212C6">
      <w:pPr>
        <w:spacing w:after="0"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6.宣传推广：</w:t>
      </w:r>
      <w:r>
        <w:rPr>
          <w:rFonts w:ascii="仿宋_GB2312" w:eastAsia="仿宋_GB2312" w:hAnsi="仿宋_GB2312" w:cs="仿宋_GB2312" w:hint="eastAsia"/>
          <w:kern w:val="0"/>
          <w:sz w:val="32"/>
          <w:szCs w:val="32"/>
        </w:rPr>
        <w:t>通过“青创通·青岛市创业服务云平台”进行项目推广展示，并在市级及以上媒体跟踪宣传报道；</w:t>
      </w:r>
    </w:p>
    <w:p w14:paraId="40DABD00" w14:textId="77777777" w:rsidR="00D212C6" w:rsidRDefault="00D212C6" w:rsidP="00D212C6">
      <w:pPr>
        <w:spacing w:after="0"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7.融资通道：</w:t>
      </w:r>
      <w:r>
        <w:rPr>
          <w:rFonts w:ascii="仿宋_GB2312" w:eastAsia="仿宋_GB2312" w:hAnsi="仿宋_GB2312" w:cs="仿宋_GB2312" w:hint="eastAsia"/>
          <w:kern w:val="0"/>
          <w:sz w:val="32"/>
          <w:szCs w:val="32"/>
        </w:rPr>
        <w:t>邀请社会知名创业基金、投融资机构对获奖项目进行重点跟踪及</w:t>
      </w:r>
      <w:proofErr w:type="gramStart"/>
      <w:r>
        <w:rPr>
          <w:rFonts w:ascii="仿宋_GB2312" w:eastAsia="仿宋_GB2312" w:hAnsi="仿宋_GB2312" w:cs="仿宋_GB2312" w:hint="eastAsia"/>
          <w:kern w:val="0"/>
          <w:sz w:val="32"/>
          <w:szCs w:val="32"/>
        </w:rPr>
        <w:t>投资尽调服务</w:t>
      </w:r>
      <w:proofErr w:type="gramEnd"/>
      <w:r>
        <w:rPr>
          <w:rFonts w:ascii="仿宋_GB2312" w:eastAsia="仿宋_GB2312" w:hAnsi="仿宋_GB2312" w:cs="仿宋_GB2312" w:hint="eastAsia"/>
          <w:kern w:val="0"/>
          <w:sz w:val="32"/>
          <w:szCs w:val="32"/>
        </w:rPr>
        <w:t>；</w:t>
      </w:r>
    </w:p>
    <w:p w14:paraId="229190DA" w14:textId="77777777" w:rsidR="00D212C6" w:rsidRDefault="00D212C6" w:rsidP="00D212C6">
      <w:pPr>
        <w:pStyle w:val="af1"/>
        <w:spacing w:after="0" w:line="560"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8.产业对接</w:t>
      </w:r>
      <w:r>
        <w:rPr>
          <w:rFonts w:ascii="仿宋_GB2312" w:eastAsia="仿宋_GB2312" w:hAnsi="仿宋_GB2312" w:cs="仿宋_GB2312"/>
          <w:b/>
          <w:bCs/>
          <w:kern w:val="0"/>
          <w:sz w:val="32"/>
          <w:szCs w:val="32"/>
        </w:rPr>
        <w:t>：</w:t>
      </w:r>
      <w:r>
        <w:rPr>
          <w:rFonts w:ascii="仿宋_GB2312" w:eastAsia="仿宋_GB2312" w:hAnsi="仿宋_GB2312" w:cs="仿宋_GB2312" w:hint="eastAsia"/>
          <w:kern w:val="0"/>
          <w:sz w:val="32"/>
          <w:szCs w:val="32"/>
        </w:rPr>
        <w:t>根据项目需求，</w:t>
      </w:r>
      <w:r>
        <w:rPr>
          <w:rFonts w:ascii="仿宋_GB2312" w:eastAsia="仿宋_GB2312" w:hAnsi="仿宋_GB2312" w:cs="仿宋_GB2312"/>
          <w:kern w:val="0"/>
          <w:sz w:val="32"/>
          <w:szCs w:val="32"/>
        </w:rPr>
        <w:t>匹配企业资源</w:t>
      </w:r>
      <w:r>
        <w:rPr>
          <w:rFonts w:ascii="仿宋_GB2312" w:eastAsia="仿宋_GB2312" w:hAnsi="仿宋_GB2312" w:cs="仿宋_GB2312" w:hint="eastAsia"/>
          <w:kern w:val="0"/>
          <w:sz w:val="32"/>
          <w:szCs w:val="32"/>
        </w:rPr>
        <w:t>、高校产学研资源对接</w:t>
      </w:r>
      <w:r>
        <w:rPr>
          <w:rFonts w:ascii="仿宋_GB2312" w:eastAsia="仿宋_GB2312" w:hAnsi="仿宋_GB2312" w:cs="仿宋_GB2312"/>
          <w:kern w:val="0"/>
          <w:sz w:val="32"/>
          <w:szCs w:val="32"/>
        </w:rPr>
        <w:t>，开放技术应用场景</w:t>
      </w:r>
      <w:r>
        <w:rPr>
          <w:rFonts w:ascii="仿宋_GB2312" w:eastAsia="仿宋_GB2312" w:hAnsi="仿宋_GB2312" w:cs="仿宋_GB2312" w:hint="eastAsia"/>
          <w:kern w:val="0"/>
          <w:sz w:val="32"/>
          <w:szCs w:val="32"/>
        </w:rPr>
        <w:t>；</w:t>
      </w:r>
    </w:p>
    <w:p w14:paraId="456ECB98" w14:textId="77777777" w:rsidR="00D212C6" w:rsidRDefault="00D212C6" w:rsidP="00D212C6">
      <w:pPr>
        <w:pStyle w:val="af1"/>
        <w:spacing w:after="0" w:line="560"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9.生活服务：</w:t>
      </w:r>
      <w:r>
        <w:rPr>
          <w:rFonts w:ascii="仿宋_GB2312" w:eastAsia="仿宋_GB2312" w:hAnsi="仿宋_GB2312" w:cs="仿宋_GB2312" w:hint="eastAsia"/>
          <w:kern w:val="0"/>
          <w:sz w:val="32"/>
          <w:szCs w:val="32"/>
        </w:rPr>
        <w:t>符合条件的人员来</w:t>
      </w:r>
      <w:proofErr w:type="gramStart"/>
      <w:r>
        <w:rPr>
          <w:rFonts w:ascii="仿宋_GB2312" w:eastAsia="仿宋_GB2312" w:hAnsi="仿宋_GB2312" w:cs="仿宋_GB2312" w:hint="eastAsia"/>
          <w:kern w:val="0"/>
          <w:sz w:val="32"/>
          <w:szCs w:val="32"/>
        </w:rPr>
        <w:t>青创业</w:t>
      </w:r>
      <w:proofErr w:type="gramEnd"/>
      <w:r>
        <w:rPr>
          <w:rFonts w:ascii="仿宋_GB2312" w:eastAsia="仿宋_GB2312" w:hAnsi="仿宋_GB2312" w:cs="仿宋_GB2312" w:hint="eastAsia"/>
          <w:kern w:val="0"/>
          <w:sz w:val="32"/>
          <w:szCs w:val="32"/>
        </w:rPr>
        <w:t>就业，可按政策规定享受免租金住宿保障以及便利出行等生活服务。</w:t>
      </w:r>
    </w:p>
    <w:p w14:paraId="37EA2ED6" w14:textId="0C314C36" w:rsidR="00D5659A" w:rsidRPr="00D212C6" w:rsidRDefault="00D5659A" w:rsidP="00414691">
      <w:pPr>
        <w:rPr>
          <w:rFonts w:hint="eastAsia"/>
        </w:rPr>
      </w:pPr>
    </w:p>
    <w:sectPr w:rsidR="00D5659A" w:rsidRPr="00D212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9C13" w14:textId="77777777" w:rsidR="00F96223" w:rsidRDefault="00F96223" w:rsidP="00414691">
      <w:pPr>
        <w:spacing w:after="0" w:line="240" w:lineRule="auto"/>
        <w:rPr>
          <w:rFonts w:hint="eastAsia"/>
        </w:rPr>
      </w:pPr>
      <w:r>
        <w:separator/>
      </w:r>
    </w:p>
  </w:endnote>
  <w:endnote w:type="continuationSeparator" w:id="0">
    <w:p w14:paraId="28F26A6F" w14:textId="77777777" w:rsidR="00F96223" w:rsidRDefault="00F96223" w:rsidP="0041469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1828" w14:textId="77777777" w:rsidR="00F96223" w:rsidRDefault="00F96223" w:rsidP="00414691">
      <w:pPr>
        <w:spacing w:after="0" w:line="240" w:lineRule="auto"/>
        <w:rPr>
          <w:rFonts w:hint="eastAsia"/>
        </w:rPr>
      </w:pPr>
      <w:r>
        <w:separator/>
      </w:r>
    </w:p>
  </w:footnote>
  <w:footnote w:type="continuationSeparator" w:id="0">
    <w:p w14:paraId="65F6E2C8" w14:textId="77777777" w:rsidR="00F96223" w:rsidRDefault="00F96223" w:rsidP="0041469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018AF8"/>
    <w:multiLevelType w:val="singleLevel"/>
    <w:tmpl w:val="C8018AF8"/>
    <w:lvl w:ilvl="0">
      <w:start w:val="1"/>
      <w:numFmt w:val="chineseCounting"/>
      <w:suff w:val="nothing"/>
      <w:lvlText w:val="%1、"/>
      <w:lvlJc w:val="left"/>
      <w:rPr>
        <w:rFonts w:hint="eastAsia"/>
      </w:rPr>
    </w:lvl>
  </w:abstractNum>
  <w:abstractNum w:abstractNumId="1" w15:restartNumberingAfterBreak="0">
    <w:nsid w:val="CE66724A"/>
    <w:multiLevelType w:val="singleLevel"/>
    <w:tmpl w:val="CE66724A"/>
    <w:lvl w:ilvl="0">
      <w:start w:val="1"/>
      <w:numFmt w:val="chineseCounting"/>
      <w:suff w:val="nothing"/>
      <w:lvlText w:val="（%1）"/>
      <w:lvlJc w:val="left"/>
      <w:rPr>
        <w:rFonts w:hint="eastAsia"/>
      </w:rPr>
    </w:lvl>
  </w:abstractNum>
  <w:num w:numId="1" w16cid:durableId="1814367841">
    <w:abstractNumId w:val="1"/>
  </w:num>
  <w:num w:numId="2" w16cid:durableId="106333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16"/>
    <w:rsid w:val="00134016"/>
    <w:rsid w:val="001D6F1A"/>
    <w:rsid w:val="00245745"/>
    <w:rsid w:val="00414691"/>
    <w:rsid w:val="00446B37"/>
    <w:rsid w:val="00545E05"/>
    <w:rsid w:val="00D212C6"/>
    <w:rsid w:val="00D5659A"/>
    <w:rsid w:val="00F61120"/>
    <w:rsid w:val="00F96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F2C0A"/>
  <w15:chartTrackingRefBased/>
  <w15:docId w15:val="{F013C0CC-2B3E-4582-A052-2D55E3F8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14691"/>
    <w:pPr>
      <w:widowControl w:val="0"/>
      <w:spacing w:after="160" w:line="278" w:lineRule="auto"/>
      <w:jc w:val="both"/>
    </w:pPr>
    <w:rPr>
      <w:szCs w:val="24"/>
    </w:rPr>
  </w:style>
  <w:style w:type="paragraph" w:styleId="1">
    <w:name w:val="heading 1"/>
    <w:basedOn w:val="a"/>
    <w:next w:val="a"/>
    <w:link w:val="10"/>
    <w:uiPriority w:val="9"/>
    <w:qFormat/>
    <w:rsid w:val="001340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0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0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0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0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01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01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01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34016"/>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134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134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134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134016"/>
    <w:rPr>
      <w:rFonts w:cstheme="majorBidi"/>
      <w:color w:val="2F5496" w:themeColor="accent1" w:themeShade="BF"/>
      <w:sz w:val="28"/>
      <w:szCs w:val="28"/>
    </w:rPr>
  </w:style>
  <w:style w:type="character" w:customStyle="1" w:styleId="50">
    <w:name w:val="标题 5 字符"/>
    <w:basedOn w:val="a1"/>
    <w:link w:val="5"/>
    <w:uiPriority w:val="9"/>
    <w:semiHidden/>
    <w:rsid w:val="00134016"/>
    <w:rPr>
      <w:rFonts w:cstheme="majorBidi"/>
      <w:color w:val="2F5496" w:themeColor="accent1" w:themeShade="BF"/>
      <w:sz w:val="24"/>
      <w:szCs w:val="24"/>
    </w:rPr>
  </w:style>
  <w:style w:type="character" w:customStyle="1" w:styleId="60">
    <w:name w:val="标题 6 字符"/>
    <w:basedOn w:val="a1"/>
    <w:link w:val="6"/>
    <w:uiPriority w:val="9"/>
    <w:semiHidden/>
    <w:rsid w:val="00134016"/>
    <w:rPr>
      <w:rFonts w:cstheme="majorBidi"/>
      <w:b/>
      <w:bCs/>
      <w:color w:val="2F5496" w:themeColor="accent1" w:themeShade="BF"/>
    </w:rPr>
  </w:style>
  <w:style w:type="character" w:customStyle="1" w:styleId="70">
    <w:name w:val="标题 7 字符"/>
    <w:basedOn w:val="a1"/>
    <w:link w:val="7"/>
    <w:uiPriority w:val="9"/>
    <w:semiHidden/>
    <w:rsid w:val="00134016"/>
    <w:rPr>
      <w:rFonts w:cstheme="majorBidi"/>
      <w:b/>
      <w:bCs/>
      <w:color w:val="595959" w:themeColor="text1" w:themeTint="A6"/>
    </w:rPr>
  </w:style>
  <w:style w:type="character" w:customStyle="1" w:styleId="80">
    <w:name w:val="标题 8 字符"/>
    <w:basedOn w:val="a1"/>
    <w:link w:val="8"/>
    <w:uiPriority w:val="9"/>
    <w:semiHidden/>
    <w:rsid w:val="00134016"/>
    <w:rPr>
      <w:rFonts w:cstheme="majorBidi"/>
      <w:color w:val="595959" w:themeColor="text1" w:themeTint="A6"/>
    </w:rPr>
  </w:style>
  <w:style w:type="character" w:customStyle="1" w:styleId="90">
    <w:name w:val="标题 9 字符"/>
    <w:basedOn w:val="a1"/>
    <w:link w:val="9"/>
    <w:uiPriority w:val="9"/>
    <w:semiHidden/>
    <w:rsid w:val="00134016"/>
    <w:rPr>
      <w:rFonts w:eastAsiaTheme="majorEastAsia" w:cstheme="majorBidi"/>
      <w:color w:val="595959" w:themeColor="text1" w:themeTint="A6"/>
    </w:rPr>
  </w:style>
  <w:style w:type="paragraph" w:styleId="a4">
    <w:name w:val="Title"/>
    <w:basedOn w:val="a"/>
    <w:next w:val="a"/>
    <w:link w:val="a5"/>
    <w:uiPriority w:val="10"/>
    <w:qFormat/>
    <w:rsid w:val="00134016"/>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13401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134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13401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134016"/>
    <w:pPr>
      <w:spacing w:before="160"/>
      <w:jc w:val="center"/>
    </w:pPr>
    <w:rPr>
      <w:i/>
      <w:iCs/>
      <w:color w:val="404040" w:themeColor="text1" w:themeTint="BF"/>
    </w:rPr>
  </w:style>
  <w:style w:type="character" w:customStyle="1" w:styleId="a9">
    <w:name w:val="引用 字符"/>
    <w:basedOn w:val="a1"/>
    <w:link w:val="a8"/>
    <w:uiPriority w:val="29"/>
    <w:rsid w:val="00134016"/>
    <w:rPr>
      <w:i/>
      <w:iCs/>
      <w:color w:val="404040" w:themeColor="text1" w:themeTint="BF"/>
    </w:rPr>
  </w:style>
  <w:style w:type="paragraph" w:styleId="aa">
    <w:name w:val="List Paragraph"/>
    <w:basedOn w:val="a"/>
    <w:uiPriority w:val="34"/>
    <w:qFormat/>
    <w:rsid w:val="00134016"/>
    <w:pPr>
      <w:ind w:left="720"/>
      <w:contextualSpacing/>
    </w:pPr>
  </w:style>
  <w:style w:type="character" w:styleId="ab">
    <w:name w:val="Intense Emphasis"/>
    <w:basedOn w:val="a1"/>
    <w:uiPriority w:val="21"/>
    <w:qFormat/>
    <w:rsid w:val="00134016"/>
    <w:rPr>
      <w:i/>
      <w:iCs/>
      <w:color w:val="2F5496" w:themeColor="accent1" w:themeShade="BF"/>
    </w:rPr>
  </w:style>
  <w:style w:type="paragraph" w:styleId="ac">
    <w:name w:val="Intense Quote"/>
    <w:basedOn w:val="a"/>
    <w:next w:val="a"/>
    <w:link w:val="ad"/>
    <w:uiPriority w:val="30"/>
    <w:qFormat/>
    <w:rsid w:val="00134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134016"/>
    <w:rPr>
      <w:i/>
      <w:iCs/>
      <w:color w:val="2F5496" w:themeColor="accent1" w:themeShade="BF"/>
    </w:rPr>
  </w:style>
  <w:style w:type="character" w:styleId="ae">
    <w:name w:val="Intense Reference"/>
    <w:basedOn w:val="a1"/>
    <w:uiPriority w:val="32"/>
    <w:qFormat/>
    <w:rsid w:val="00134016"/>
    <w:rPr>
      <w:b/>
      <w:bCs/>
      <w:smallCaps/>
      <w:color w:val="2F5496" w:themeColor="accent1" w:themeShade="BF"/>
      <w:spacing w:val="5"/>
    </w:rPr>
  </w:style>
  <w:style w:type="paragraph" w:styleId="af">
    <w:name w:val="header"/>
    <w:basedOn w:val="a"/>
    <w:link w:val="af0"/>
    <w:uiPriority w:val="99"/>
    <w:unhideWhenUsed/>
    <w:rsid w:val="00414691"/>
    <w:pPr>
      <w:tabs>
        <w:tab w:val="center" w:pos="4153"/>
        <w:tab w:val="right" w:pos="8306"/>
      </w:tabs>
      <w:snapToGrid w:val="0"/>
      <w:jc w:val="center"/>
    </w:pPr>
    <w:rPr>
      <w:sz w:val="18"/>
      <w:szCs w:val="18"/>
    </w:rPr>
  </w:style>
  <w:style w:type="character" w:customStyle="1" w:styleId="af0">
    <w:name w:val="页眉 字符"/>
    <w:basedOn w:val="a1"/>
    <w:link w:val="af"/>
    <w:uiPriority w:val="99"/>
    <w:rsid w:val="00414691"/>
    <w:rPr>
      <w:sz w:val="18"/>
      <w:szCs w:val="18"/>
    </w:rPr>
  </w:style>
  <w:style w:type="paragraph" w:styleId="af1">
    <w:name w:val="footer"/>
    <w:basedOn w:val="a"/>
    <w:link w:val="af2"/>
    <w:unhideWhenUsed/>
    <w:qFormat/>
    <w:rsid w:val="00414691"/>
    <w:pPr>
      <w:tabs>
        <w:tab w:val="center" w:pos="4153"/>
        <w:tab w:val="right" w:pos="8306"/>
      </w:tabs>
      <w:snapToGrid w:val="0"/>
      <w:jc w:val="left"/>
    </w:pPr>
    <w:rPr>
      <w:sz w:val="18"/>
      <w:szCs w:val="18"/>
    </w:rPr>
  </w:style>
  <w:style w:type="character" w:customStyle="1" w:styleId="af2">
    <w:name w:val="页脚 字符"/>
    <w:basedOn w:val="a1"/>
    <w:link w:val="af1"/>
    <w:uiPriority w:val="99"/>
    <w:rsid w:val="00414691"/>
    <w:rPr>
      <w:sz w:val="18"/>
      <w:szCs w:val="18"/>
    </w:rPr>
  </w:style>
  <w:style w:type="paragraph" w:styleId="a0">
    <w:name w:val="Body Text"/>
    <w:basedOn w:val="a"/>
    <w:link w:val="af3"/>
    <w:uiPriority w:val="99"/>
    <w:semiHidden/>
    <w:unhideWhenUsed/>
    <w:rsid w:val="00414691"/>
    <w:pPr>
      <w:spacing w:after="120"/>
    </w:pPr>
  </w:style>
  <w:style w:type="character" w:customStyle="1" w:styleId="af3">
    <w:name w:val="正文文本 字符"/>
    <w:basedOn w:val="a1"/>
    <w:link w:val="a0"/>
    <w:uiPriority w:val="99"/>
    <w:semiHidden/>
    <w:rsid w:val="00414691"/>
    <w:rPr>
      <w:szCs w:val="24"/>
    </w:rPr>
  </w:style>
  <w:style w:type="paragraph" w:styleId="af4">
    <w:name w:val="Normal (Web)"/>
    <w:basedOn w:val="a"/>
    <w:qFormat/>
    <w:rsid w:val="00D212C6"/>
    <w:pPr>
      <w:spacing w:beforeAutospacing="1" w:after="0" w:afterAutospacing="1"/>
      <w:jc w:val="left"/>
    </w:pPr>
    <w:rPr>
      <w:rFonts w:cs="Times New Roman"/>
      <w:kern w:val="0"/>
      <w:sz w:val="24"/>
    </w:rPr>
  </w:style>
  <w:style w:type="table" w:styleId="af5">
    <w:name w:val="Table Grid"/>
    <w:basedOn w:val="a2"/>
    <w:qFormat/>
    <w:rsid w:val="00D212C6"/>
    <w:pPr>
      <w:widowControl w:val="0"/>
      <w:spacing w:after="160" w:line="278"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rsid w:val="00D212C6"/>
    <w:pPr>
      <w:ind w:firstLineChars="200" w:firstLine="420"/>
    </w:pPr>
    <w:rPr>
      <w:sz w:val="24"/>
    </w:rPr>
  </w:style>
  <w:style w:type="character" w:customStyle="1" w:styleId="font01">
    <w:name w:val="font01"/>
    <w:basedOn w:val="a1"/>
    <w:qFormat/>
    <w:rsid w:val="00D212C6"/>
    <w:rPr>
      <w:rFonts w:ascii="Arial" w:hAnsi="Arial" w:cs="Arial"/>
      <w:b/>
      <w:color w:val="222222"/>
      <w:sz w:val="27"/>
      <w:szCs w:val="2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funny Orietta</dc:creator>
  <cp:keywords/>
  <dc:description/>
  <cp:lastModifiedBy>funny Orietta</cp:lastModifiedBy>
  <cp:revision>3</cp:revision>
  <dcterms:created xsi:type="dcterms:W3CDTF">2025-06-17T04:49:00Z</dcterms:created>
  <dcterms:modified xsi:type="dcterms:W3CDTF">2025-06-17T05:12:00Z</dcterms:modified>
</cp:coreProperties>
</file>