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>
        <w:trPr>
          <w:trHeight w:val="1026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adjustRightInd w:val="false"/>
              <w:snapToGrid w:val="false"/>
              <w:spacing w:lineRule="exact" w:line="560"/>
              <w:jc w:val="left"/>
              <w:textAlignment w:val="center"/>
              <w:rPr>
                <w:rFonts w:ascii="黑体" w:cs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cs="黑体" w:eastAsia="黑体" w:hAnsi="黑体"/>
                <w:color w:val="000000"/>
                <w:kern w:val="0"/>
                <w:sz w:val="28"/>
                <w:szCs w:val="28"/>
              </w:rPr>
              <w:t>1</w:t>
            </w:r>
          </w:p>
          <w:p>
            <w:pPr>
              <w:pStyle w:val="style0"/>
              <w:widowControl/>
              <w:adjustRightInd w:val="false"/>
              <w:snapToGrid w:val="false"/>
              <w:spacing w:lineRule="exact" w:line="560"/>
              <w:jc w:val="center"/>
              <w:textAlignment w:val="center"/>
              <w:rPr>
                <w:rFonts w:ascii="文星简小标宋" w:cs="文星简小标宋" w:eastAsia="文星简小标宋" w:hAnsi="文星简小标宋"/>
                <w:color w:val="000000"/>
                <w:sz w:val="44"/>
                <w:szCs w:val="44"/>
              </w:rPr>
            </w:pPr>
            <w:r>
              <w:rPr>
                <w:rFonts w:ascii="方正小标宋_GBK" w:cs="方正小标宋_GBK" w:eastAsia="方正小标宋_GBK" w:hAnsi="方正小标宋_GBK" w:hint="eastAsia"/>
                <w:sz w:val="36"/>
                <w:szCs w:val="36"/>
              </w:rPr>
              <w:t>第</w:t>
            </w:r>
            <w:r>
              <w:rPr>
                <w:rFonts w:ascii="方正小标宋_GBK" w:cs="方正小标宋_GBK" w:eastAsia="方正小标宋_GBK" w:hAnsi="方正小标宋_GBK"/>
                <w:sz w:val="36"/>
                <w:szCs w:val="36"/>
              </w:rPr>
              <w:t>3</w:t>
            </w:r>
            <w:r>
              <w:rPr>
                <w:rFonts w:ascii="方正小标宋_GBK" w:cs="方正小标宋_GBK" w:eastAsia="方正小标宋_GBK" w:hAnsi="方正小标宋_GBK" w:hint="eastAsia"/>
                <w:sz w:val="36"/>
                <w:szCs w:val="36"/>
              </w:rPr>
              <w:t>2</w:t>
            </w:r>
            <w:r>
              <w:rPr>
                <w:rFonts w:ascii="方正小标宋_GBK" w:cs="方正小标宋_GBK" w:eastAsia="方正小标宋_GBK" w:hAnsi="方正小标宋_GBK" w:hint="eastAsia"/>
                <w:sz w:val="36"/>
                <w:szCs w:val="36"/>
              </w:rPr>
              <w:t>届青岛国际啤酒节志愿者报名表</w:t>
            </w:r>
          </w:p>
        </w:tc>
      </w:tr>
      <w:tr>
        <w:tblPrEx/>
        <w:trPr>
          <w:trHeight w:val="686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照片（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寸彩色免冠电子版）</w:t>
            </w:r>
          </w:p>
        </w:tc>
      </w:tr>
      <w:tr>
        <w:tblPrEx/>
        <w:trPr>
          <w:trHeight w:val="420" w:hRule="atLeast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治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面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749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语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级）</w:t>
            </w:r>
          </w:p>
        </w:tc>
        <w:tc>
          <w:tcPr>
            <w:tcW w:w="19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689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是否接种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新冠疫苗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685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身高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cm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体重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上衣型号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鞋码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823" w:hRule="atLeast"/>
          <w:jc w:val="center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微软雅黑" w:cs="微软雅黑" w:eastAsia="微软雅黑" w:hAnsi="微软雅黑" w:hint="eastAsia"/>
                <w:color w:val="000000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讲解服务岗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/>
                <w:color w:val="000000"/>
                <w:sz w:val="24"/>
              </w:rPr>
              <w:t xml:space="preserve">   </w:t>
            </w:r>
            <w:r>
              <w:rPr>
                <w:rFonts w:ascii="微软雅黑" w:cs="微软雅黑" w:eastAsia="微软雅黑" w:hAnsi="微软雅黑" w:hint="eastAsia"/>
                <w:color w:val="000000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志愿服务岗</w:t>
            </w:r>
          </w:p>
        </w:tc>
      </w:tr>
      <w:tr>
        <w:tblPrEx/>
        <w:trPr>
          <w:trHeight w:val="679" w:hRule="atLeast"/>
          <w:jc w:val="center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color w:val="000000"/>
                <w:sz w:val="24"/>
              </w:rPr>
            </w:pPr>
            <w:r>
              <w:rPr>
                <w:rFonts w:ascii="微软雅黑" w:cs="微软雅黑" w:eastAsia="微软雅黑" w:hAnsi="微软雅黑" w:hint="eastAsia"/>
                <w:color w:val="000000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是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/>
                <w:color w:val="000000"/>
                <w:sz w:val="24"/>
              </w:rPr>
              <w:t xml:space="preserve">   </w:t>
            </w:r>
            <w:r>
              <w:rPr>
                <w:rFonts w:ascii="微软雅黑" w:cs="微软雅黑" w:eastAsia="微软雅黑" w:hAnsi="微软雅黑" w:hint="eastAsia"/>
                <w:color w:val="000000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否</w:t>
            </w:r>
          </w:p>
        </w:tc>
      </w:tr>
      <w:tr>
        <w:tblPrEx/>
        <w:trPr>
          <w:trHeight w:val="1420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（示例：中国石油大学（华东）外国语学院日语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12-3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班）</w:t>
            </w:r>
          </w:p>
        </w:tc>
      </w:tr>
      <w:tr>
        <w:tblPrEx/>
        <w:trPr>
          <w:trHeight w:val="1420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Style w:val="style4099"/>
                <w:rFonts w:ascii="仿宋_GB2312" w:cs="仿宋_GB2312" w:eastAsia="仿宋_GB2312" w:hAnsi="仿宋_GB2312" w:hint="default"/>
              </w:rPr>
              <w:t>包括获奖情况、社会工作和实践情况、实习经历等）</w:t>
            </w:r>
          </w:p>
        </w:tc>
      </w:tr>
      <w:tr>
        <w:tblPrEx/>
        <w:trPr>
          <w:trHeight w:val="1600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志愿服务经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仿宋_GB2312" w:cs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（曾参与的志愿服务）</w:t>
            </w:r>
          </w:p>
          <w:p>
            <w:pPr>
              <w:pStyle w:val="style0"/>
              <w:widowControl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仿宋_GB2312" w:cs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依据有关法律、法规的规定，以上填报内容属实，自愿担任第</w:t>
            </w:r>
            <w:r>
              <w:rPr>
                <w:rFonts w:ascii="仿宋_GB2312" w:cs="仿宋_GB2312" w:eastAsia="仿宋_GB2312" w:hAnsi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cs="仿宋_GB2312" w:eastAsia="仿宋_GB2312" w:hAnsi="仿宋_GB2312"/>
                <w:color w:val="000000"/>
                <w:kern w:val="0"/>
                <w:sz w:val="24"/>
                <w:lang w:val="en-US"/>
              </w:rPr>
              <w:t>2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</w:rPr>
              <w:t>届青岛国际啤酒节志愿者，并根据要求开展相关志愿服务工作，履行岗位职责，服从安排，听从调遣。</w:t>
            </w:r>
          </w:p>
        </w:tc>
      </w:tr>
      <w:tr>
        <w:tblPrEx/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327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style0"/>
              <w:widowControl/>
              <w:ind w:firstLine="720" w:firstLineChars="300"/>
              <w:textAlignment w:val="center"/>
              <w:rPr>
                <w:rFonts w:ascii="仿宋_GB2312" w:cs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本人签字：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联系电话：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4"/>
              </w:rPr>
              <w:t>日期：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widowControl/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widowControl/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font11"/>
    <w:basedOn w:val="style65"/>
    <w:next w:val="style4099"/>
    <w:rPr>
      <w:rFonts w:ascii="宋体" w:cs="宋体" w:eastAsia="宋体" w:hAnsi="宋体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280</Words>
  <Pages>1</Pages>
  <Characters>287</Characters>
  <Application>WPS Office</Application>
  <DocSecurity>0</DocSecurity>
  <Paragraphs>86</Paragraphs>
  <ScaleCrop>false</ScaleCrop>
  <LinksUpToDate>false</LinksUpToDate>
  <CharactersWithSpaces>341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2022-06-20T01:51:00Z</dcterms:created>
  <dc:creator>孙启龙</dc:creator>
  <lastModifiedBy>MRX-W39</lastModifiedBy>
  <dcterms:modified xsi:type="dcterms:W3CDTF">2022-06-21T03:40:06Z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DB4D251E41404430A004B68B5CA74995</vt:lpwstr>
  </property>
</Properties>
</file>