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2"/>
          <w:szCs w:val="28"/>
        </w:rPr>
      </w:pPr>
      <w:r>
        <w:rPr>
          <w:rFonts w:hint="eastAsia" w:ascii="宋体" w:hAnsi="宋体" w:eastAsia="宋体"/>
          <w:b/>
          <w:sz w:val="32"/>
          <w:szCs w:val="28"/>
        </w:rPr>
        <w:t>关于社会实践与志愿服务类转换学时认定标准的建议</w:t>
      </w:r>
    </w:p>
    <w:p>
      <w:pPr>
        <w:spacing w:line="360" w:lineRule="auto"/>
        <w:rPr>
          <w:rFonts w:ascii="宋体" w:hAnsi="宋体" w:eastAsia="宋体"/>
          <w:sz w:val="24"/>
          <w:szCs w:val="24"/>
        </w:rPr>
      </w:pPr>
      <w:r>
        <w:rPr>
          <w:rFonts w:hint="eastAsia" w:ascii="宋体" w:hAnsi="宋体" w:eastAsia="宋体"/>
          <w:sz w:val="24"/>
          <w:szCs w:val="24"/>
        </w:rPr>
        <w:t>一、认定范围</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本次转换学时认定仅针对在“石光”平台提交审核的社会实践与志愿服务类赛事、活动、荣誉称号等，证明材料需为证书，</w:t>
      </w:r>
      <w:r>
        <w:rPr>
          <w:rFonts w:hint="eastAsia" w:ascii="宋体" w:hAnsi="宋体" w:eastAsia="宋体"/>
          <w:sz w:val="24"/>
          <w:szCs w:val="24"/>
          <w:highlight w:val="none"/>
        </w:rPr>
        <w:t>证明不参与认定。</w:t>
      </w:r>
    </w:p>
    <w:p>
      <w:pPr>
        <w:spacing w:line="360" w:lineRule="auto"/>
        <w:rPr>
          <w:rFonts w:ascii="宋体" w:hAnsi="宋体" w:eastAsia="宋体"/>
          <w:sz w:val="24"/>
          <w:szCs w:val="24"/>
        </w:rPr>
      </w:pPr>
      <w:r>
        <w:rPr>
          <w:rFonts w:hint="eastAsia" w:ascii="宋体" w:hAnsi="宋体" w:eastAsia="宋体"/>
          <w:sz w:val="24"/>
          <w:szCs w:val="24"/>
        </w:rPr>
        <w:t>二、申请方式</w:t>
      </w:r>
    </w:p>
    <w:p>
      <w:pPr>
        <w:spacing w:line="360" w:lineRule="auto"/>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学生于2</w:t>
      </w:r>
      <w:r>
        <w:rPr>
          <w:rFonts w:ascii="宋体" w:hAnsi="宋体" w:eastAsia="宋体"/>
          <w:sz w:val="24"/>
          <w:szCs w:val="24"/>
        </w:rPr>
        <w:t>023</w:t>
      </w:r>
      <w:r>
        <w:rPr>
          <w:rFonts w:hint="eastAsia" w:ascii="宋体" w:hAnsi="宋体" w:eastAsia="宋体"/>
          <w:sz w:val="24"/>
          <w:szCs w:val="24"/>
        </w:rPr>
        <w:t>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16</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19</w:t>
      </w:r>
      <w:bookmarkStart w:id="0" w:name="_GoBack"/>
      <w:bookmarkEnd w:id="0"/>
      <w:r>
        <w:rPr>
          <w:rFonts w:hint="eastAsia" w:ascii="宋体" w:hAnsi="宋体" w:eastAsia="宋体"/>
          <w:sz w:val="24"/>
          <w:szCs w:val="24"/>
        </w:rPr>
        <w:t>日通过“石光”小程序提交审核申请，具体步骤参考《转换学时认定指南（学生版）》。以团队名义获得的荣誉，如果证书上没有出现团队成员的姓名，则需要提交成员参与证明（插入图片到“荣誉证书”栏）。</w:t>
      </w:r>
    </w:p>
    <w:p>
      <w:pPr>
        <w:spacing w:line="360" w:lineRule="auto"/>
        <w:rPr>
          <w:rFonts w:ascii="宋体" w:hAnsi="宋体" w:eastAsia="宋体"/>
          <w:sz w:val="24"/>
          <w:szCs w:val="24"/>
        </w:rPr>
      </w:pPr>
      <w:r>
        <w:rPr>
          <w:rFonts w:hint="eastAsia" w:ascii="宋体" w:hAnsi="宋体" w:eastAsia="宋体"/>
          <w:sz w:val="24"/>
          <w:szCs w:val="24"/>
        </w:rPr>
        <w:t>三、学时转换意见</w:t>
      </w:r>
    </w:p>
    <w:p>
      <w:pPr>
        <w:spacing w:line="360" w:lineRule="auto"/>
        <w:rPr>
          <w:rFonts w:ascii="宋体" w:hAnsi="宋体" w:eastAsia="宋体"/>
          <w:sz w:val="24"/>
          <w:szCs w:val="24"/>
        </w:rPr>
      </w:pPr>
      <w:r>
        <w:rPr>
          <w:rFonts w:hint="eastAsia" w:ascii="宋体" w:hAnsi="宋体" w:eastAsia="宋体"/>
          <w:sz w:val="24"/>
          <w:szCs w:val="24"/>
        </w:rPr>
        <w:t>（一）大型赛事</w:t>
      </w:r>
    </w:p>
    <w:p>
      <w:pPr>
        <w:spacing w:line="360" w:lineRule="auto"/>
        <w:ind w:firstLine="420"/>
        <w:rPr>
          <w:rFonts w:ascii="宋体" w:hAnsi="宋体" w:eastAsia="宋体"/>
          <w:sz w:val="24"/>
          <w:szCs w:val="24"/>
        </w:rPr>
      </w:pPr>
      <w:r>
        <w:rPr>
          <w:rFonts w:hint="eastAsia" w:ascii="宋体" w:hAnsi="宋体" w:eastAsia="宋体"/>
          <w:sz w:val="24"/>
          <w:szCs w:val="24"/>
        </w:rPr>
        <w:t>社会实践与志愿服务类赛事根据获奖级别赋予学时。若团队获奖，“/”前数字为负责人对应学时，“/”后为其他成员对应学时；个人获奖按负责人计。</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1654"/>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tcPr>
          <w:p>
            <w:pPr>
              <w:spacing w:line="360" w:lineRule="auto"/>
              <w:jc w:val="center"/>
              <w:rPr>
                <w:rFonts w:ascii="宋体" w:hAnsi="宋体" w:eastAsia="宋体"/>
                <w:sz w:val="24"/>
                <w:szCs w:val="24"/>
              </w:rPr>
            </w:pPr>
            <w:r>
              <w:rPr>
                <w:rFonts w:hint="eastAsia" w:ascii="宋体" w:hAnsi="宋体" w:eastAsia="宋体"/>
                <w:sz w:val="24"/>
                <w:szCs w:val="24"/>
              </w:rPr>
              <w:t>奖项等级</w:t>
            </w:r>
          </w:p>
        </w:tc>
        <w:tc>
          <w:tcPr>
            <w:tcW w:w="6636" w:type="dxa"/>
            <w:gridSpan w:val="4"/>
          </w:tcPr>
          <w:p>
            <w:pPr>
              <w:spacing w:line="360" w:lineRule="auto"/>
              <w:jc w:val="center"/>
              <w:rPr>
                <w:rFonts w:ascii="宋体" w:hAnsi="宋体" w:eastAsia="宋体"/>
                <w:sz w:val="24"/>
                <w:szCs w:val="24"/>
              </w:rPr>
            </w:pPr>
            <w:r>
              <w:rPr>
                <w:rFonts w:hint="eastAsia" w:ascii="宋体" w:hAnsi="宋体" w:eastAsia="宋体"/>
                <w:sz w:val="24"/>
                <w:szCs w:val="24"/>
              </w:rPr>
              <w:t>学时数量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tcPr>
          <w:p>
            <w:pPr>
              <w:spacing w:line="360" w:lineRule="auto"/>
              <w:rPr>
                <w:rFonts w:ascii="宋体" w:hAnsi="宋体" w:eastAsia="宋体"/>
                <w:sz w:val="24"/>
                <w:szCs w:val="24"/>
              </w:rPr>
            </w:pPr>
          </w:p>
        </w:tc>
        <w:tc>
          <w:tcPr>
            <w:tcW w:w="1660" w:type="dxa"/>
          </w:tcPr>
          <w:p>
            <w:pPr>
              <w:spacing w:line="360" w:lineRule="auto"/>
              <w:rPr>
                <w:rFonts w:ascii="宋体" w:hAnsi="宋体" w:eastAsia="宋体"/>
                <w:sz w:val="24"/>
                <w:szCs w:val="24"/>
              </w:rPr>
            </w:pPr>
            <w:r>
              <w:rPr>
                <w:rFonts w:hint="eastAsia" w:ascii="宋体" w:hAnsi="宋体" w:eastAsia="宋体"/>
                <w:sz w:val="24"/>
                <w:szCs w:val="24"/>
              </w:rPr>
              <w:t>校级</w:t>
            </w:r>
          </w:p>
        </w:tc>
        <w:tc>
          <w:tcPr>
            <w:tcW w:w="1654" w:type="dxa"/>
          </w:tcPr>
          <w:p>
            <w:pPr>
              <w:spacing w:line="360" w:lineRule="auto"/>
              <w:rPr>
                <w:rFonts w:ascii="宋体" w:hAnsi="宋体" w:eastAsia="宋体"/>
                <w:sz w:val="24"/>
                <w:szCs w:val="24"/>
              </w:rPr>
            </w:pPr>
            <w:r>
              <w:rPr>
                <w:rFonts w:hint="eastAsia" w:ascii="宋体" w:hAnsi="宋体" w:eastAsia="宋体"/>
                <w:sz w:val="24"/>
                <w:szCs w:val="24"/>
              </w:rPr>
              <w:t>区/市级</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省级</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rPr>
                <w:rFonts w:ascii="宋体" w:hAnsi="宋体" w:eastAsia="宋体"/>
                <w:sz w:val="24"/>
                <w:szCs w:val="24"/>
              </w:rPr>
            </w:pPr>
            <w:r>
              <w:rPr>
                <w:rFonts w:hint="eastAsia" w:ascii="宋体" w:hAnsi="宋体" w:eastAsia="宋体"/>
                <w:sz w:val="24"/>
                <w:szCs w:val="24"/>
              </w:rPr>
              <w:t>一等奖（金奖）</w:t>
            </w:r>
          </w:p>
        </w:tc>
        <w:tc>
          <w:tcPr>
            <w:tcW w:w="1660" w:type="dxa"/>
          </w:tcPr>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8</w:t>
            </w:r>
          </w:p>
        </w:tc>
        <w:tc>
          <w:tcPr>
            <w:tcW w:w="1654" w:type="dxa"/>
          </w:tcPr>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18</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0/26</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rPr>
                <w:rFonts w:ascii="宋体" w:hAnsi="宋体" w:eastAsia="宋体"/>
                <w:sz w:val="24"/>
                <w:szCs w:val="24"/>
              </w:rPr>
            </w:pPr>
            <w:r>
              <w:rPr>
                <w:rFonts w:hint="eastAsia" w:ascii="宋体" w:hAnsi="宋体" w:eastAsia="宋体"/>
                <w:sz w:val="24"/>
                <w:szCs w:val="24"/>
              </w:rPr>
              <w:t>二等奖（银奖）</w:t>
            </w:r>
          </w:p>
        </w:tc>
        <w:tc>
          <w:tcPr>
            <w:tcW w:w="1660" w:type="dxa"/>
          </w:tcPr>
          <w:p>
            <w:pPr>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6</w:t>
            </w:r>
          </w:p>
        </w:tc>
        <w:tc>
          <w:tcPr>
            <w:tcW w:w="1654" w:type="dxa"/>
          </w:tcPr>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6/14</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4/20</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36</w:t>
            </w:r>
            <w:r>
              <w:rPr>
                <w:rFonts w:ascii="宋体" w:hAnsi="宋体" w:eastAsia="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rPr>
                <w:rFonts w:ascii="宋体" w:hAnsi="宋体" w:eastAsia="宋体"/>
                <w:sz w:val="24"/>
                <w:szCs w:val="24"/>
              </w:rPr>
            </w:pPr>
            <w:r>
              <w:rPr>
                <w:rFonts w:hint="eastAsia" w:ascii="宋体" w:hAnsi="宋体" w:eastAsia="宋体"/>
                <w:sz w:val="24"/>
                <w:szCs w:val="24"/>
              </w:rPr>
              <w:t>三等奖（铜奖）</w:t>
            </w:r>
          </w:p>
        </w:tc>
        <w:tc>
          <w:tcPr>
            <w:tcW w:w="1660" w:type="dxa"/>
          </w:tcPr>
          <w:p>
            <w:pPr>
              <w:spacing w:line="360"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/5</w:t>
            </w:r>
          </w:p>
        </w:tc>
        <w:tc>
          <w:tcPr>
            <w:tcW w:w="1654" w:type="dxa"/>
          </w:tcPr>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2/10</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0/18</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spacing w:line="360" w:lineRule="auto"/>
              <w:rPr>
                <w:rFonts w:ascii="宋体" w:hAnsi="宋体" w:eastAsia="宋体"/>
                <w:sz w:val="24"/>
                <w:szCs w:val="24"/>
              </w:rPr>
            </w:pPr>
            <w:r>
              <w:rPr>
                <w:rFonts w:hint="eastAsia" w:ascii="宋体" w:hAnsi="宋体" w:eastAsia="宋体"/>
                <w:sz w:val="24"/>
                <w:szCs w:val="24"/>
              </w:rPr>
              <w:t>优秀奖（入围奖）</w:t>
            </w:r>
          </w:p>
        </w:tc>
        <w:tc>
          <w:tcPr>
            <w:tcW w:w="1660" w:type="dxa"/>
          </w:tcPr>
          <w:p>
            <w:pPr>
              <w:spacing w:line="360"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/4</w:t>
            </w:r>
          </w:p>
        </w:tc>
        <w:tc>
          <w:tcPr>
            <w:tcW w:w="1654" w:type="dxa"/>
          </w:tcPr>
          <w:p>
            <w:pPr>
              <w:spacing w:line="360"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/6</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2/10</w:t>
            </w:r>
          </w:p>
        </w:tc>
        <w:tc>
          <w:tcPr>
            <w:tcW w:w="1661" w:type="dxa"/>
          </w:tcPr>
          <w:p>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2/20</w:t>
            </w:r>
          </w:p>
        </w:tc>
      </w:tr>
    </w:tbl>
    <w:p>
      <w:pPr>
        <w:spacing w:line="360" w:lineRule="auto"/>
        <w:rPr>
          <w:rFonts w:ascii="宋体" w:hAnsi="宋体" w:eastAsia="宋体"/>
          <w:sz w:val="24"/>
          <w:szCs w:val="24"/>
        </w:rPr>
      </w:pPr>
      <w:r>
        <w:rPr>
          <w:rFonts w:hint="eastAsia" w:ascii="宋体" w:hAnsi="宋体" w:eastAsia="宋体"/>
          <w:sz w:val="24"/>
          <w:szCs w:val="24"/>
        </w:rPr>
        <w:t>注：若非常规奖次等级，则由实践中心根据具体赛事的规格及评比流程酌情划归等次，志愿服务项目参与挑战杯三大赛的由双创中心根据创新创业标准赋予。。</w:t>
      </w:r>
    </w:p>
    <w:p>
      <w:pPr>
        <w:spacing w:line="360" w:lineRule="auto"/>
        <w:rPr>
          <w:rFonts w:ascii="宋体" w:hAnsi="宋体" w:eastAsia="宋体"/>
          <w:sz w:val="24"/>
          <w:szCs w:val="24"/>
        </w:rPr>
      </w:pPr>
      <w:r>
        <w:rPr>
          <w:rFonts w:hint="eastAsia" w:ascii="宋体" w:hAnsi="宋体" w:eastAsia="宋体"/>
          <w:sz w:val="24"/>
          <w:szCs w:val="24"/>
        </w:rPr>
        <w:t>（二）评奖评优</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ab/>
      </w:r>
      <w:r>
        <w:rPr>
          <w:rFonts w:hint="eastAsia" w:ascii="宋体" w:hAnsi="宋体" w:eastAsia="宋体"/>
          <w:sz w:val="24"/>
          <w:szCs w:val="24"/>
          <w:highlight w:val="none"/>
        </w:rPr>
        <w:t>本项针对与社会实践或志愿服务有关的评比评优活动中产生的荣誉称号，不包括各类活动中的“优秀志愿者”、校级暑期社会实践优秀学生、省级“三下乡”优秀学生，只记录经历，不赋予学时。如：星级志愿者，优秀志愿者等。</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注：</w:t>
      </w:r>
    </w:p>
    <w:p>
      <w:pPr>
        <w:pStyle w:val="11"/>
        <w:numPr>
          <w:ilvl w:val="0"/>
          <w:numId w:val="1"/>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提交本项申请时需注明授予等级以及年度，如：2</w:t>
      </w:r>
      <w:r>
        <w:rPr>
          <w:rFonts w:ascii="宋体" w:hAnsi="宋体" w:eastAsia="宋体"/>
          <w:sz w:val="24"/>
          <w:szCs w:val="24"/>
          <w:highlight w:val="none"/>
        </w:rPr>
        <w:t>022</w:t>
      </w:r>
      <w:r>
        <w:rPr>
          <w:rFonts w:hint="eastAsia" w:ascii="宋体" w:hAnsi="宋体" w:eastAsia="宋体"/>
          <w:sz w:val="24"/>
          <w:szCs w:val="24"/>
          <w:highlight w:val="none"/>
        </w:rPr>
        <w:t>年度优秀志愿者。</w:t>
      </w:r>
    </w:p>
    <w:p>
      <w:pPr>
        <w:pStyle w:val="11"/>
        <w:numPr>
          <w:ilvl w:val="0"/>
          <w:numId w:val="1"/>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志愿服务优秀个人评选（属于我校志愿服务三大赛：项目、组织、个人）产出的优秀志愿者、公益之星赋予10、15个志愿服务类学时。</w:t>
      </w:r>
    </w:p>
    <w:p>
      <w:pPr>
        <w:spacing w:line="360" w:lineRule="auto"/>
        <w:rPr>
          <w:rFonts w:hint="default" w:ascii="宋体" w:hAnsi="宋体" w:eastAsia="宋体"/>
          <w:sz w:val="24"/>
          <w:szCs w:val="24"/>
          <w:highlight w:val="none"/>
          <w:lang w:val="en-US"/>
        </w:rPr>
      </w:pPr>
      <w:r>
        <w:rPr>
          <w:rFonts w:hint="eastAsia" w:ascii="宋体" w:hAnsi="宋体" w:eastAsia="宋体"/>
          <w:sz w:val="24"/>
          <w:szCs w:val="24"/>
          <w:highlight w:val="none"/>
        </w:rPr>
        <w:t>（三）校级暑期社会实践、省级“三下乡”</w:t>
      </w:r>
      <w:r>
        <w:rPr>
          <w:rFonts w:hint="eastAsia" w:ascii="宋体" w:hAnsi="宋体" w:eastAsia="宋体"/>
          <w:sz w:val="24"/>
          <w:szCs w:val="24"/>
          <w:highlight w:val="none"/>
          <w:lang w:val="en-US"/>
        </w:rPr>
        <w:t>证书转换</w:t>
      </w:r>
    </w:p>
    <w:tbl>
      <w:tblPr>
        <w:tblStyle w:val="12"/>
        <w:tblW w:w="50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7"/>
        <w:gridCol w:w="2137"/>
        <w:gridCol w:w="3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30" w:type="pct"/>
            <w:vAlign w:val="center"/>
          </w:tcPr>
          <w:p>
            <w:pPr>
              <w:spacing w:before="120" w:line="221" w:lineRule="auto"/>
              <w:jc w:val="center"/>
              <w:rPr>
                <w:rFonts w:ascii="宋体" w:hAnsi="宋体" w:eastAsia="宋体" w:cs="宋体"/>
                <w:sz w:val="24"/>
                <w:szCs w:val="24"/>
                <w:highlight w:val="none"/>
              </w:rPr>
            </w:pPr>
            <w:r>
              <w:rPr>
                <w:rFonts w:ascii="宋体" w:hAnsi="宋体" w:eastAsia="宋体" w:cs="宋体"/>
                <w:b/>
                <w:bCs/>
                <w:spacing w:val="-4"/>
                <w:sz w:val="24"/>
                <w:szCs w:val="24"/>
                <w:highlight w:val="none"/>
              </w:rPr>
              <w:t>星级团队</w:t>
            </w:r>
          </w:p>
        </w:tc>
        <w:tc>
          <w:tcPr>
            <w:tcW w:w="1279" w:type="pct"/>
            <w:vAlign w:val="center"/>
          </w:tcPr>
          <w:p>
            <w:pPr>
              <w:spacing w:before="119" w:line="219" w:lineRule="auto"/>
              <w:jc w:val="center"/>
              <w:rPr>
                <w:rFonts w:ascii="宋体" w:hAnsi="宋体" w:eastAsia="宋体" w:cs="宋体"/>
                <w:sz w:val="24"/>
                <w:szCs w:val="24"/>
                <w:highlight w:val="none"/>
              </w:rPr>
            </w:pPr>
            <w:r>
              <w:rPr>
                <w:rFonts w:ascii="宋体" w:hAnsi="宋体" w:eastAsia="宋体" w:cs="宋体"/>
                <w:b/>
                <w:bCs/>
                <w:spacing w:val="-4"/>
                <w:sz w:val="24"/>
                <w:szCs w:val="24"/>
                <w:highlight w:val="none"/>
              </w:rPr>
              <w:t>先进个人</w:t>
            </w:r>
          </w:p>
        </w:tc>
        <w:tc>
          <w:tcPr>
            <w:tcW w:w="2190" w:type="pct"/>
            <w:vAlign w:val="center"/>
          </w:tcPr>
          <w:p>
            <w:pPr>
              <w:spacing w:before="118" w:line="219" w:lineRule="auto"/>
              <w:jc w:val="center"/>
              <w:rPr>
                <w:rFonts w:ascii="宋体" w:hAnsi="宋体" w:eastAsia="宋体" w:cs="宋体"/>
                <w:sz w:val="24"/>
                <w:szCs w:val="24"/>
                <w:highlight w:val="none"/>
              </w:rPr>
            </w:pPr>
            <w:r>
              <w:rPr>
                <w:rFonts w:ascii="宋体" w:hAnsi="宋体" w:eastAsia="宋体" w:cs="宋体"/>
                <w:b/>
                <w:bCs/>
                <w:spacing w:val="-3"/>
                <w:sz w:val="24"/>
                <w:szCs w:val="24"/>
                <w:highlight w:val="none"/>
              </w:rPr>
              <w:t>其他社会实践类奖项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1530" w:type="pct"/>
            <w:vAlign w:val="center"/>
          </w:tcPr>
          <w:p>
            <w:pPr>
              <w:spacing w:before="56" w:line="220" w:lineRule="auto"/>
              <w:jc w:val="both"/>
              <w:rPr>
                <w:rFonts w:ascii="宋体" w:hAnsi="宋体" w:eastAsia="宋体" w:cs="宋体"/>
                <w:spacing w:val="7"/>
                <w:sz w:val="24"/>
                <w:szCs w:val="24"/>
                <w:highlight w:val="none"/>
              </w:rPr>
            </w:pPr>
            <w:r>
              <w:rPr>
                <w:rFonts w:ascii="宋体" w:hAnsi="宋体" w:eastAsia="宋体" w:cs="宋体"/>
                <w:spacing w:val="7"/>
                <w:sz w:val="24"/>
                <w:szCs w:val="24"/>
                <w:highlight w:val="none"/>
              </w:rPr>
              <w:t>五星实践队：10学时；</w:t>
            </w:r>
          </w:p>
          <w:p>
            <w:pPr>
              <w:spacing w:before="56" w:line="220" w:lineRule="auto"/>
              <w:jc w:val="both"/>
              <w:rPr>
                <w:rFonts w:ascii="宋体" w:hAnsi="宋体" w:eastAsia="宋体" w:cs="宋体"/>
                <w:spacing w:val="7"/>
                <w:sz w:val="24"/>
                <w:szCs w:val="24"/>
                <w:highlight w:val="none"/>
              </w:rPr>
            </w:pPr>
            <w:r>
              <w:rPr>
                <w:rFonts w:ascii="宋体" w:hAnsi="宋体" w:eastAsia="宋体" w:cs="宋体"/>
                <w:spacing w:val="7"/>
                <w:sz w:val="24"/>
                <w:szCs w:val="24"/>
                <w:highlight w:val="none"/>
              </w:rPr>
              <w:t>四星实践队：8学时；</w:t>
            </w:r>
          </w:p>
          <w:p>
            <w:pPr>
              <w:spacing w:before="56" w:line="220" w:lineRule="auto"/>
              <w:jc w:val="both"/>
              <w:rPr>
                <w:rFonts w:ascii="宋体" w:hAnsi="宋体" w:eastAsia="宋体" w:cs="宋体"/>
                <w:sz w:val="24"/>
                <w:szCs w:val="24"/>
                <w:highlight w:val="none"/>
              </w:rPr>
            </w:pPr>
            <w:r>
              <w:rPr>
                <w:rFonts w:ascii="宋体" w:hAnsi="宋体" w:eastAsia="宋体" w:cs="宋体"/>
                <w:spacing w:val="-1"/>
                <w:sz w:val="24"/>
                <w:szCs w:val="24"/>
                <w:highlight w:val="none"/>
              </w:rPr>
              <w:t>三星实践队：6学时</w:t>
            </w:r>
          </w:p>
        </w:tc>
        <w:tc>
          <w:tcPr>
            <w:tcW w:w="1279" w:type="pct"/>
            <w:vAlign w:val="center"/>
          </w:tcPr>
          <w:p>
            <w:pPr>
              <w:spacing w:before="52" w:line="232" w:lineRule="auto"/>
              <w:jc w:val="both"/>
              <w:rPr>
                <w:rFonts w:ascii="宋体" w:hAnsi="宋体" w:eastAsia="宋体" w:cs="宋体"/>
                <w:spacing w:val="18"/>
                <w:sz w:val="24"/>
                <w:szCs w:val="24"/>
                <w:highlight w:val="none"/>
              </w:rPr>
            </w:pPr>
            <w:r>
              <w:rPr>
                <w:rFonts w:ascii="宋体" w:hAnsi="宋体" w:eastAsia="宋体" w:cs="宋体"/>
                <w:spacing w:val="18"/>
                <w:sz w:val="24"/>
                <w:szCs w:val="24"/>
                <w:highlight w:val="none"/>
              </w:rPr>
              <w:t>校级：10学时；</w:t>
            </w:r>
          </w:p>
          <w:p>
            <w:pPr>
              <w:spacing w:before="52" w:line="232" w:lineRule="auto"/>
              <w:jc w:val="both"/>
              <w:rPr>
                <w:rFonts w:ascii="宋体" w:hAnsi="宋体" w:eastAsia="宋体" w:cs="宋体"/>
                <w:spacing w:val="18"/>
                <w:sz w:val="24"/>
                <w:szCs w:val="24"/>
                <w:highlight w:val="none"/>
              </w:rPr>
            </w:pPr>
            <w:r>
              <w:rPr>
                <w:rFonts w:ascii="宋体" w:hAnsi="宋体" w:eastAsia="宋体" w:cs="宋体"/>
                <w:spacing w:val="18"/>
                <w:sz w:val="24"/>
                <w:szCs w:val="24"/>
                <w:highlight w:val="none"/>
              </w:rPr>
              <w:t>省级：16学时；</w:t>
            </w:r>
          </w:p>
          <w:p>
            <w:pPr>
              <w:spacing w:before="52" w:line="232" w:lineRule="auto"/>
              <w:jc w:val="both"/>
              <w:rPr>
                <w:rFonts w:ascii="宋体" w:hAnsi="宋体" w:eastAsia="宋体" w:cs="宋体"/>
                <w:sz w:val="24"/>
                <w:szCs w:val="24"/>
                <w:highlight w:val="none"/>
              </w:rPr>
            </w:pPr>
            <w:r>
              <w:rPr>
                <w:rFonts w:ascii="宋体" w:hAnsi="宋体" w:eastAsia="宋体" w:cs="宋体"/>
                <w:spacing w:val="1"/>
                <w:sz w:val="24"/>
                <w:szCs w:val="24"/>
                <w:highlight w:val="none"/>
              </w:rPr>
              <w:t>国家级：22学时</w:t>
            </w:r>
          </w:p>
        </w:tc>
        <w:tc>
          <w:tcPr>
            <w:tcW w:w="2190" w:type="pct"/>
            <w:vAlign w:val="center"/>
          </w:tcPr>
          <w:p>
            <w:pPr>
              <w:spacing w:before="128" w:line="300" w:lineRule="auto"/>
              <w:jc w:val="both"/>
              <w:rPr>
                <w:rFonts w:ascii="宋体" w:hAnsi="宋体" w:eastAsia="宋体" w:cs="宋体"/>
                <w:spacing w:val="17"/>
                <w:sz w:val="24"/>
                <w:szCs w:val="24"/>
                <w:highlight w:val="none"/>
              </w:rPr>
            </w:pPr>
            <w:r>
              <w:rPr>
                <w:rFonts w:ascii="宋体" w:hAnsi="宋体" w:eastAsia="宋体" w:cs="宋体"/>
                <w:spacing w:val="17"/>
                <w:sz w:val="24"/>
                <w:szCs w:val="24"/>
                <w:highlight w:val="none"/>
              </w:rPr>
              <w:t>校级：一</w:t>
            </w:r>
            <w:r>
              <w:rPr>
                <w:rFonts w:ascii="宋体" w:hAnsi="宋体" w:eastAsia="宋体" w:cs="宋体"/>
                <w:spacing w:val="-38"/>
                <w:sz w:val="24"/>
                <w:szCs w:val="24"/>
                <w:highlight w:val="none"/>
              </w:rPr>
              <w:t xml:space="preserve"> </w:t>
            </w:r>
            <w:r>
              <w:rPr>
                <w:rFonts w:ascii="宋体" w:hAnsi="宋体" w:eastAsia="宋体" w:cs="宋体"/>
                <w:spacing w:val="17"/>
                <w:sz w:val="24"/>
                <w:szCs w:val="24"/>
                <w:highlight w:val="none"/>
              </w:rPr>
              <w:t>等奖10学时、二等奖8学时、三等奖6学时；</w:t>
            </w:r>
          </w:p>
          <w:p>
            <w:pPr>
              <w:spacing w:before="128" w:line="300" w:lineRule="auto"/>
              <w:jc w:val="both"/>
              <w:rPr>
                <w:rFonts w:ascii="宋体" w:hAnsi="宋体" w:eastAsia="宋体" w:cs="宋体"/>
                <w:spacing w:val="15"/>
                <w:sz w:val="24"/>
                <w:szCs w:val="24"/>
                <w:highlight w:val="none"/>
              </w:rPr>
            </w:pPr>
            <w:r>
              <w:rPr>
                <w:rFonts w:ascii="宋体" w:hAnsi="宋体" w:eastAsia="宋体" w:cs="宋体"/>
                <w:spacing w:val="10"/>
                <w:sz w:val="24"/>
                <w:szCs w:val="24"/>
                <w:highlight w:val="none"/>
              </w:rPr>
              <w:t>省级：一等奖16学时、二</w:t>
            </w:r>
            <w:r>
              <w:rPr>
                <w:rFonts w:ascii="宋体" w:hAnsi="宋体" w:eastAsia="宋体" w:cs="宋体"/>
                <w:spacing w:val="15"/>
                <w:sz w:val="24"/>
                <w:szCs w:val="24"/>
                <w:highlight w:val="none"/>
              </w:rPr>
              <w:t>等奖14学时、三等奖12学时；</w:t>
            </w:r>
          </w:p>
          <w:p>
            <w:pPr>
              <w:spacing w:before="128" w:line="300" w:lineRule="auto"/>
              <w:jc w:val="both"/>
              <w:rPr>
                <w:rFonts w:ascii="宋体" w:hAnsi="宋体" w:eastAsia="宋体" w:cs="宋体"/>
                <w:sz w:val="24"/>
                <w:szCs w:val="24"/>
                <w:highlight w:val="none"/>
              </w:rPr>
            </w:pPr>
            <w:r>
              <w:rPr>
                <w:rFonts w:ascii="宋体" w:hAnsi="宋体" w:eastAsia="宋体" w:cs="宋体"/>
                <w:spacing w:val="6"/>
                <w:sz w:val="24"/>
                <w:szCs w:val="24"/>
                <w:highlight w:val="none"/>
              </w:rPr>
              <w:t>国家级：一等奖22学时、</w:t>
            </w:r>
            <w:r>
              <w:rPr>
                <w:rFonts w:ascii="宋体" w:hAnsi="宋体" w:eastAsia="宋体" w:cs="宋体"/>
                <w:spacing w:val="17"/>
                <w:sz w:val="24"/>
                <w:szCs w:val="24"/>
                <w:highlight w:val="none"/>
              </w:rPr>
              <w:t>二等奖20学时、三等奖18学时</w:t>
            </w:r>
          </w:p>
        </w:tc>
      </w:tr>
    </w:tbl>
    <w:p>
      <w:pPr>
        <w:spacing w:line="360" w:lineRule="auto"/>
        <w:rPr>
          <w:rFonts w:hint="default" w:ascii="宋体" w:hAnsi="宋体" w:eastAsia="宋体"/>
          <w:sz w:val="24"/>
          <w:szCs w:val="24"/>
          <w:highlight w:val="none"/>
        </w:rPr>
      </w:pPr>
      <w:r>
        <w:rPr>
          <w:rFonts w:hint="eastAsia" w:ascii="宋体" w:hAnsi="宋体" w:eastAsia="宋体"/>
          <w:sz w:val="24"/>
          <w:szCs w:val="24"/>
          <w:highlight w:val="none"/>
          <w:lang w:val="en-US"/>
        </w:rPr>
        <w:t>注</w:t>
      </w:r>
      <w:r>
        <w:rPr>
          <w:rFonts w:hint="default" w:ascii="宋体" w:hAnsi="宋体" w:eastAsia="宋体"/>
          <w:sz w:val="24"/>
          <w:szCs w:val="24"/>
          <w:highlight w:val="none"/>
        </w:rPr>
        <w:t>：</w:t>
      </w:r>
    </w:p>
    <w:p>
      <w:pPr>
        <w:numPr>
          <w:ilvl w:val="0"/>
          <w:numId w:val="2"/>
        </w:numPr>
        <w:spacing w:line="360" w:lineRule="auto"/>
        <w:ind w:left="425" w:leftChars="0" w:hanging="425" w:firstLineChars="0"/>
        <w:rPr>
          <w:rFonts w:hint="default" w:ascii="宋体" w:hAnsi="宋体" w:eastAsia="宋体"/>
          <w:sz w:val="24"/>
          <w:szCs w:val="24"/>
          <w:highlight w:val="none"/>
          <w:lang w:val="en-US"/>
        </w:rPr>
      </w:pPr>
      <w:r>
        <w:rPr>
          <w:rFonts w:hint="default" w:ascii="宋体" w:hAnsi="宋体" w:eastAsia="宋体"/>
          <w:sz w:val="24"/>
          <w:szCs w:val="24"/>
          <w:highlight w:val="none"/>
          <w:lang w:val="en-US"/>
        </w:rPr>
        <w:t>同类活动奖项按照最高等级计算</w:t>
      </w:r>
      <w:r>
        <w:rPr>
          <w:rFonts w:hint="default" w:ascii="宋体" w:hAnsi="宋体" w:eastAsia="宋体"/>
          <w:sz w:val="24"/>
          <w:szCs w:val="24"/>
          <w:highlight w:val="none"/>
        </w:rPr>
        <w:t>（</w:t>
      </w:r>
      <w:r>
        <w:rPr>
          <w:rFonts w:hint="eastAsia" w:ascii="宋体" w:hAnsi="宋体" w:eastAsia="宋体"/>
          <w:sz w:val="24"/>
          <w:szCs w:val="24"/>
          <w:highlight w:val="none"/>
          <w:lang w:val="en-US"/>
        </w:rPr>
        <w:t>如</w:t>
      </w:r>
      <w:r>
        <w:rPr>
          <w:rFonts w:hint="default" w:ascii="宋体" w:hAnsi="宋体" w:eastAsia="宋体"/>
          <w:sz w:val="24"/>
          <w:szCs w:val="24"/>
          <w:highlight w:val="none"/>
        </w:rPr>
        <w:t>：</w:t>
      </w:r>
      <w:r>
        <w:rPr>
          <w:rFonts w:hint="eastAsia" w:ascii="宋体" w:hAnsi="宋体" w:eastAsia="宋体"/>
          <w:sz w:val="24"/>
          <w:szCs w:val="24"/>
          <w:highlight w:val="none"/>
          <w:lang w:val="en-US"/>
        </w:rPr>
        <w:t>省级优秀个人与校级优秀个人不可重复认定</w:t>
      </w:r>
      <w:r>
        <w:rPr>
          <w:rFonts w:hint="default" w:ascii="宋体" w:hAnsi="宋体" w:eastAsia="宋体"/>
          <w:sz w:val="24"/>
          <w:szCs w:val="24"/>
          <w:highlight w:val="none"/>
        </w:rPr>
        <w:t>）。</w:t>
      </w:r>
    </w:p>
    <w:p>
      <w:pPr>
        <w:numPr>
          <w:ilvl w:val="0"/>
          <w:numId w:val="2"/>
        </w:numPr>
        <w:spacing w:line="360" w:lineRule="auto"/>
        <w:ind w:left="425" w:leftChars="0" w:hanging="425" w:firstLineChars="0"/>
        <w:rPr>
          <w:rFonts w:hint="default" w:ascii="宋体" w:hAnsi="宋体" w:eastAsia="宋体"/>
          <w:sz w:val="24"/>
          <w:szCs w:val="24"/>
          <w:highlight w:val="none"/>
          <w:lang w:val="en-US"/>
        </w:rPr>
      </w:pPr>
      <w:r>
        <w:rPr>
          <w:rFonts w:hint="eastAsia" w:ascii="宋体" w:hAnsi="宋体" w:eastAsia="宋体"/>
          <w:sz w:val="24"/>
          <w:szCs w:val="24"/>
          <w:highlight w:val="none"/>
          <w:lang w:val="en-US"/>
        </w:rPr>
        <w:t>校级</w:t>
      </w:r>
      <w:r>
        <w:rPr>
          <w:rFonts w:hint="default" w:ascii="宋体" w:hAnsi="宋体" w:eastAsia="宋体"/>
          <w:sz w:val="24"/>
          <w:szCs w:val="24"/>
          <w:highlight w:val="none"/>
          <w:lang w:val="en-US"/>
        </w:rPr>
        <w:t>优秀成果奖</w:t>
      </w:r>
      <w:r>
        <w:rPr>
          <w:rFonts w:hint="default" w:ascii="宋体" w:hAnsi="宋体" w:eastAsia="宋体"/>
          <w:sz w:val="24"/>
          <w:szCs w:val="24"/>
          <w:highlight w:val="none"/>
        </w:rPr>
        <w:t>、省</w:t>
      </w:r>
      <w:r>
        <w:rPr>
          <w:rFonts w:hint="eastAsia" w:ascii="宋体" w:hAnsi="宋体" w:eastAsia="宋体"/>
          <w:sz w:val="24"/>
          <w:szCs w:val="24"/>
          <w:highlight w:val="none"/>
          <w:lang w:val="en-US"/>
        </w:rPr>
        <w:t>级</w:t>
      </w:r>
      <w:r>
        <w:rPr>
          <w:rFonts w:hint="default" w:ascii="宋体" w:hAnsi="宋体" w:eastAsia="宋体"/>
          <w:sz w:val="24"/>
          <w:szCs w:val="24"/>
          <w:highlight w:val="none"/>
        </w:rPr>
        <w:t>优秀服务团队、省</w:t>
      </w:r>
      <w:r>
        <w:rPr>
          <w:rFonts w:hint="eastAsia" w:ascii="宋体" w:hAnsi="宋体" w:eastAsia="宋体"/>
          <w:sz w:val="24"/>
          <w:szCs w:val="24"/>
          <w:highlight w:val="none"/>
          <w:lang w:val="en-US"/>
        </w:rPr>
        <w:t>级</w:t>
      </w:r>
      <w:r>
        <w:rPr>
          <w:rFonts w:hint="default" w:ascii="宋体" w:hAnsi="宋体" w:eastAsia="宋体"/>
          <w:sz w:val="24"/>
          <w:szCs w:val="24"/>
          <w:highlight w:val="none"/>
        </w:rPr>
        <w:t>优秀服务基层实践项目</w:t>
      </w:r>
      <w:r>
        <w:rPr>
          <w:rFonts w:hint="eastAsia" w:ascii="宋体" w:hAnsi="宋体" w:eastAsia="宋体"/>
          <w:sz w:val="24"/>
          <w:szCs w:val="24"/>
          <w:highlight w:val="none"/>
          <w:lang w:val="en-US"/>
        </w:rPr>
        <w:t>均按照二等奖赋予学时</w:t>
      </w:r>
      <w:r>
        <w:rPr>
          <w:rFonts w:hint="default" w:ascii="宋体" w:hAnsi="宋体" w:eastAsia="宋体"/>
          <w:sz w:val="24"/>
          <w:szCs w:val="24"/>
          <w:highlight w:val="none"/>
        </w:rPr>
        <w:t>。</w:t>
      </w:r>
    </w:p>
    <w:p>
      <w:pPr>
        <w:spacing w:line="360" w:lineRule="auto"/>
        <w:rPr>
          <w:rFonts w:hint="default" w:ascii="宋体" w:hAnsi="宋体" w:eastAsia="宋体"/>
          <w:sz w:val="24"/>
          <w:szCs w:val="24"/>
          <w:highlight w:val="none"/>
          <w:lang w:val="en-US"/>
        </w:rPr>
      </w:pPr>
      <w:r>
        <w:rPr>
          <w:rFonts w:hint="eastAsia" w:ascii="宋体" w:hAnsi="宋体" w:eastAsia="宋体"/>
          <w:sz w:val="24"/>
          <w:szCs w:val="24"/>
          <w:highlight w:val="none"/>
        </w:rPr>
        <w:t>（</w:t>
      </w:r>
      <w:r>
        <w:rPr>
          <w:rFonts w:hint="eastAsia" w:ascii="宋体" w:hAnsi="宋体" w:eastAsia="宋体"/>
          <w:sz w:val="24"/>
          <w:szCs w:val="24"/>
          <w:highlight w:val="none"/>
          <w:lang w:val="en-US"/>
        </w:rPr>
        <w:t>四</w:t>
      </w:r>
      <w:r>
        <w:rPr>
          <w:rFonts w:hint="eastAsia" w:ascii="宋体" w:hAnsi="宋体" w:eastAsia="宋体"/>
          <w:sz w:val="24"/>
          <w:szCs w:val="24"/>
          <w:highlight w:val="none"/>
        </w:rPr>
        <w:t>）大型志愿服务活动证书转换</w:t>
      </w:r>
      <w:r>
        <w:rPr>
          <w:rFonts w:hint="eastAsia" w:ascii="宋体" w:hAnsi="宋体" w:eastAsia="宋体"/>
          <w:sz w:val="24"/>
          <w:szCs w:val="24"/>
          <w:highlight w:val="none"/>
          <w:lang w:val="en-US"/>
        </w:rPr>
        <w:t>学时</w:t>
      </w:r>
    </w:p>
    <w:p>
      <w:pPr>
        <w:spacing w:line="360" w:lineRule="auto"/>
        <w:rPr>
          <w:rFonts w:ascii="宋体" w:hAnsi="宋体" w:eastAsia="宋体"/>
          <w:sz w:val="24"/>
          <w:szCs w:val="24"/>
          <w:highlight w:val="none"/>
        </w:rPr>
      </w:pPr>
      <w:r>
        <w:rPr>
          <w:rFonts w:ascii="宋体" w:hAnsi="宋体" w:eastAsia="宋体"/>
          <w:sz w:val="24"/>
          <w:szCs w:val="24"/>
          <w:highlight w:val="none"/>
        </w:rPr>
        <w:tab/>
      </w:r>
      <w:r>
        <w:rPr>
          <w:rFonts w:hint="eastAsia" w:ascii="宋体" w:hAnsi="宋体" w:eastAsia="宋体"/>
          <w:sz w:val="24"/>
          <w:szCs w:val="24"/>
          <w:highlight w:val="none"/>
        </w:rPr>
        <w:t>参加各类集会活动、公益行动、大型赛事等志愿服务工作，并获得相应证书者，按照志愿工作时长、工作性质、活动规格等要素，由实践中心根据“一事一议”原则酌情赋予学时。下为部分工作时长和活动规模对应学时数量参考：</w:t>
      </w:r>
    </w:p>
    <w:tbl>
      <w:tblPr>
        <w:tblStyle w:val="6"/>
        <w:tblW w:w="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累计工作时长</w:t>
            </w:r>
          </w:p>
        </w:tc>
        <w:tc>
          <w:tcPr>
            <w:tcW w:w="3147" w:type="dxa"/>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学时数量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093"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≤1天</w:t>
            </w:r>
          </w:p>
        </w:tc>
        <w:tc>
          <w:tcPr>
            <w:tcW w:w="3147"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3</w:t>
            </w:r>
            <w:r>
              <w:rPr>
                <w:rFonts w:hint="eastAsia" w:ascii="宋体" w:hAnsi="宋体" w:eastAsia="宋体"/>
                <w:sz w:val="24"/>
                <w:szCs w:val="24"/>
                <w:highlight w:val="none"/>
              </w:rPr>
              <w:t>天</w:t>
            </w:r>
          </w:p>
        </w:tc>
        <w:tc>
          <w:tcPr>
            <w:tcW w:w="3147"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7</w:t>
            </w:r>
            <w:r>
              <w:rPr>
                <w:rFonts w:hint="eastAsia" w:ascii="宋体" w:hAnsi="宋体" w:eastAsia="宋体"/>
                <w:sz w:val="24"/>
                <w:szCs w:val="24"/>
                <w:highlight w:val="none"/>
              </w:rPr>
              <w:t>天</w:t>
            </w:r>
          </w:p>
        </w:tc>
        <w:tc>
          <w:tcPr>
            <w:tcW w:w="3147"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周</w:t>
            </w:r>
          </w:p>
        </w:tc>
        <w:tc>
          <w:tcPr>
            <w:tcW w:w="3147"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&gt;</w:t>
            </w:r>
            <w:r>
              <w:rPr>
                <w:rFonts w:ascii="宋体" w:hAnsi="宋体" w:eastAsia="宋体"/>
                <w:sz w:val="24"/>
                <w:szCs w:val="24"/>
                <w:highlight w:val="none"/>
              </w:rPr>
              <w:t>2</w:t>
            </w:r>
            <w:r>
              <w:rPr>
                <w:rFonts w:hint="eastAsia" w:ascii="宋体" w:hAnsi="宋体" w:eastAsia="宋体"/>
                <w:sz w:val="24"/>
                <w:szCs w:val="24"/>
                <w:highlight w:val="none"/>
              </w:rPr>
              <w:t>周</w:t>
            </w:r>
          </w:p>
        </w:tc>
        <w:tc>
          <w:tcPr>
            <w:tcW w:w="3147" w:type="dxa"/>
          </w:tcPr>
          <w:p>
            <w:pPr>
              <w:spacing w:line="360" w:lineRule="auto"/>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0</w:t>
            </w:r>
          </w:p>
        </w:tc>
      </w:tr>
    </w:tbl>
    <w:p>
      <w:pPr>
        <w:spacing w:line="360" w:lineRule="auto"/>
        <w:rPr>
          <w:rFonts w:ascii="宋体" w:hAnsi="宋体" w:eastAsia="宋体"/>
          <w:sz w:val="24"/>
          <w:szCs w:val="24"/>
          <w:highlight w:val="none"/>
        </w:rPr>
      </w:pPr>
      <w:r>
        <w:rPr>
          <w:rFonts w:hint="eastAsia" w:ascii="宋体" w:hAnsi="宋体" w:eastAsia="宋体"/>
          <w:sz w:val="24"/>
          <w:szCs w:val="24"/>
          <w:highlight w:val="none"/>
        </w:rPr>
        <w:t>注：</w:t>
      </w:r>
    </w:p>
    <w:p>
      <w:pPr>
        <w:pStyle w:val="11"/>
        <w:numPr>
          <w:ilvl w:val="0"/>
          <w:numId w:val="3"/>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举办（落款）单位为校级级（含校级）以上认定，需经由实践中心商议后赋予对应学时；</w:t>
      </w:r>
    </w:p>
    <w:p>
      <w:pPr>
        <w:pStyle w:val="11"/>
        <w:numPr>
          <w:ilvl w:val="0"/>
          <w:numId w:val="3"/>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机构赋予证书需经过实践中心审核机构性质以及是否与社团活动、课程重复后再予以赋予。</w:t>
      </w:r>
    </w:p>
    <w:p>
      <w:pPr>
        <w:pStyle w:val="11"/>
        <w:numPr>
          <w:ilvl w:val="0"/>
          <w:numId w:val="3"/>
        </w:numPr>
        <w:spacing w:line="360" w:lineRule="auto"/>
        <w:ind w:firstLineChars="0"/>
        <w:rPr>
          <w:rFonts w:ascii="宋体" w:hAnsi="宋体" w:eastAsia="宋体"/>
          <w:sz w:val="24"/>
          <w:szCs w:val="24"/>
          <w:highlight w:val="none"/>
        </w:rPr>
      </w:pPr>
      <w:r>
        <w:rPr>
          <w:rFonts w:hint="eastAsia" w:ascii="宋体" w:hAnsi="宋体" w:eastAsia="宋体"/>
          <w:sz w:val="24"/>
          <w:szCs w:val="24"/>
          <w:highlight w:val="none"/>
        </w:rPr>
        <w:t>学时导入申请时可根据《社会实践与志愿服务转换学时证书统计与建议学时发放》表进行认定，其他证书审核人向实践中心报备后完成赋予。</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五</w:t>
      </w:r>
      <w:r>
        <w:rPr>
          <w:rFonts w:hint="eastAsia" w:ascii="宋体" w:hAnsi="宋体" w:eastAsia="宋体"/>
          <w:sz w:val="24"/>
          <w:szCs w:val="24"/>
          <w:highlight w:val="none"/>
        </w:rPr>
        <w:t>）临时性活动</w:t>
      </w:r>
    </w:p>
    <w:p>
      <w:pPr>
        <w:pStyle w:val="11"/>
        <w:spacing w:line="360" w:lineRule="auto"/>
        <w:ind w:left="360" w:firstLine="0" w:firstLineChars="0"/>
        <w:rPr>
          <w:rFonts w:ascii="宋体" w:hAnsi="宋体" w:eastAsia="宋体"/>
          <w:sz w:val="24"/>
          <w:szCs w:val="24"/>
          <w:highlight w:val="none"/>
        </w:rPr>
      </w:pPr>
      <w:r>
        <w:rPr>
          <w:rFonts w:hint="eastAsia" w:ascii="宋体" w:hAnsi="宋体" w:eastAsia="宋体"/>
          <w:sz w:val="24"/>
          <w:szCs w:val="24"/>
          <w:highlight w:val="none"/>
        </w:rPr>
        <w:t>由活动组织单位根据社会实践与志愿服务学时导入流程，经实践中心签字后导入学时。</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六</w:t>
      </w:r>
      <w:r>
        <w:rPr>
          <w:rFonts w:hint="eastAsia" w:ascii="宋体" w:hAnsi="宋体" w:eastAsia="宋体"/>
          <w:sz w:val="24"/>
          <w:szCs w:val="24"/>
          <w:highlight w:val="none"/>
        </w:rPr>
        <w:t>）个人实习</w:t>
      </w:r>
    </w:p>
    <w:p>
      <w:pPr>
        <w:spacing w:line="360" w:lineRule="auto"/>
        <w:rPr>
          <w:rFonts w:ascii="宋体" w:hAnsi="宋体" w:eastAsia="宋体"/>
          <w:sz w:val="24"/>
          <w:szCs w:val="24"/>
          <w:highlight w:val="none"/>
        </w:rPr>
      </w:pPr>
      <w:r>
        <w:rPr>
          <w:rFonts w:ascii="宋体" w:hAnsi="宋体" w:eastAsia="宋体"/>
          <w:sz w:val="24"/>
          <w:szCs w:val="24"/>
          <w:highlight w:val="none"/>
        </w:rPr>
        <w:tab/>
      </w:r>
      <w:r>
        <w:rPr>
          <w:rFonts w:hint="eastAsia" w:ascii="宋体" w:hAnsi="宋体" w:eastAsia="宋体"/>
          <w:sz w:val="24"/>
          <w:szCs w:val="24"/>
          <w:highlight w:val="none"/>
        </w:rPr>
        <w:t>已在社会实践认定过程中同社会实践材料一同提认定交，此次转换学时工作不赋予学时。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ZGJhOGNjYjVkNzk2ZDdhNmI4ZjQ0N2JmZmE1YjQifQ=="/>
  </w:docVars>
  <w:rsids>
    <w:rsidRoot w:val="00000000"/>
    <w:rsid w:val="469E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qFormat/>
    <w:uiPriority w:val="99"/>
    <w:rPr>
      <w:sz w:val="18"/>
      <w:szCs w:val="18"/>
    </w:rPr>
  </w:style>
  <w:style w:type="paragraph" w:styleId="11">
    <w:name w:val="List Paragraph"/>
    <w:basedOn w:val="1"/>
    <w:qFormat/>
    <w:uiPriority w:val="34"/>
    <w:pPr>
      <w:ind w:firstLine="420" w:firstLineChars="200"/>
    </w:pPr>
  </w:style>
  <w:style w:type="table" w:customStyle="1" w:styleId="12">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1239</Words>
  <Characters>1326</Characters>
  <Paragraphs>93</Paragraphs>
  <TotalTime>13</TotalTime>
  <ScaleCrop>false</ScaleCrop>
  <LinksUpToDate>false</LinksUpToDate>
  <CharactersWithSpaces>1332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2020-09-12T12:46:00Z</dcterms:created>
  <dc:creator>caoyuanhui@126.com</dc:creator>
  <cp:lastModifiedBy>Royal Confectionery</cp:lastModifiedBy>
  <dcterms:modified xsi:type="dcterms:W3CDTF">2023-09-12T11:57:45Z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4705A822207EAA60008E186448C43281_42</vt:lpwstr>
  </property>
</Properties>
</file>