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84D54">
      <w:pPr>
        <w:jc w:val="center"/>
        <w:rPr>
          <w:rFonts w:hint="default" w:ascii="仿宋_GB2312" w:hAnsi="仿宋_GB2312" w:eastAsia="黑体" w:cs="仿宋_GB2312"/>
          <w:sz w:val="28"/>
          <w:szCs w:val="36"/>
          <w:lang w:val="en-US" w:eastAsia="zh-CN"/>
        </w:rPr>
      </w:pPr>
      <w:r>
        <w:rPr>
          <w:rFonts w:hint="eastAsia" w:ascii="黑体" w:hAnsi="黑体" w:eastAsia="黑体" w:cs="黑体"/>
          <w:b/>
          <w:bCs/>
          <w:sz w:val="36"/>
          <w:szCs w:val="32"/>
        </w:rPr>
        <w:t>中国石油大学（华东）第二课堂成绩预警管理办法</w:t>
      </w:r>
      <w:r>
        <w:rPr>
          <w:rFonts w:hint="eastAsia" w:ascii="黑体" w:hAnsi="黑体" w:eastAsia="黑体" w:cs="黑体"/>
          <w:b/>
          <w:bCs/>
          <w:sz w:val="36"/>
          <w:szCs w:val="32"/>
          <w:lang w:eastAsia="zh-CN"/>
        </w:rPr>
        <w:t>（</w:t>
      </w:r>
      <w:r>
        <w:rPr>
          <w:rFonts w:hint="eastAsia" w:ascii="黑体" w:hAnsi="黑体" w:eastAsia="黑体" w:cs="黑体"/>
          <w:b/>
          <w:bCs/>
          <w:sz w:val="36"/>
          <w:szCs w:val="32"/>
          <w:lang w:val="en-US" w:eastAsia="zh-CN"/>
        </w:rPr>
        <w:t>修订）</w:t>
      </w:r>
    </w:p>
    <w:p w14:paraId="40DEF34E">
      <w:pPr>
        <w:adjustRightInd w:val="0"/>
        <w:snapToGrid w:val="0"/>
        <w:spacing w:line="560" w:lineRule="exact"/>
        <w:ind w:firstLine="560" w:firstLineChars="200"/>
        <w:rPr>
          <w:rFonts w:ascii="仿宋_GB2312" w:hAnsi="仿宋_GB2312" w:eastAsia="仿宋_GB2312" w:cs="仿宋_GB2312"/>
          <w:sz w:val="28"/>
          <w:szCs w:val="36"/>
        </w:rPr>
      </w:pPr>
      <w:r>
        <w:rPr>
          <w:rFonts w:hint="eastAsia" w:ascii="仿宋_GB2312" w:hAnsi="仿宋_GB2312" w:eastAsia="仿宋_GB2312" w:cs="仿宋_GB2312"/>
          <w:sz w:val="28"/>
          <w:szCs w:val="36"/>
        </w:rPr>
        <w:t xml:space="preserve">第一条 </w:t>
      </w:r>
      <w:r>
        <w:rPr>
          <w:rFonts w:ascii="仿宋_GB2312" w:hAnsi="仿宋_GB2312" w:eastAsia="仿宋_GB2312" w:cs="仿宋_GB2312"/>
          <w:sz w:val="28"/>
          <w:szCs w:val="36"/>
        </w:rPr>
        <w:t xml:space="preserve"> </w:t>
      </w:r>
      <w:r>
        <w:rPr>
          <w:rFonts w:hint="eastAsia" w:ascii="仿宋_GB2312" w:hAnsi="仿宋_GB2312" w:eastAsia="仿宋_GB2312" w:cs="仿宋_GB2312"/>
          <w:sz w:val="28"/>
          <w:szCs w:val="36"/>
        </w:rPr>
        <w:t>为进一步加强我校“第二课堂成绩单”制度建设，有效引导学生合理规划、积极参与第二课堂活动，顺利完成第二课堂的学习任务，促进学生德智体美劳全面发展，提高人才培养质量，特制定本办法。</w:t>
      </w:r>
    </w:p>
    <w:p w14:paraId="5A627291">
      <w:pPr>
        <w:adjustRightInd w:val="0"/>
        <w:snapToGrid w:val="0"/>
        <w:spacing w:line="560" w:lineRule="exact"/>
        <w:ind w:firstLine="560" w:firstLineChars="200"/>
        <w:rPr>
          <w:rFonts w:ascii="仿宋_GB2312" w:hAnsi="仿宋_GB2312" w:eastAsia="仿宋_GB2312" w:cs="仿宋_GB2312"/>
          <w:sz w:val="28"/>
          <w:szCs w:val="36"/>
        </w:rPr>
      </w:pPr>
      <w:r>
        <w:rPr>
          <w:rFonts w:hint="eastAsia" w:ascii="仿宋_GB2312" w:hAnsi="仿宋_GB2312" w:eastAsia="仿宋_GB2312" w:cs="仿宋_GB2312"/>
          <w:sz w:val="28"/>
          <w:szCs w:val="36"/>
        </w:rPr>
        <w:t xml:space="preserve">第二条 </w:t>
      </w:r>
      <w:r>
        <w:rPr>
          <w:rFonts w:ascii="仿宋_GB2312" w:hAnsi="仿宋_GB2312" w:eastAsia="仿宋_GB2312" w:cs="仿宋_GB2312"/>
          <w:sz w:val="28"/>
          <w:szCs w:val="36"/>
        </w:rPr>
        <w:t xml:space="preserve"> </w:t>
      </w:r>
      <w:r>
        <w:rPr>
          <w:rFonts w:hint="eastAsia" w:ascii="仿宋_GB2312" w:hAnsi="仿宋_GB2312" w:eastAsia="仿宋_GB2312" w:cs="仿宋_GB2312"/>
          <w:sz w:val="28"/>
          <w:szCs w:val="36"/>
        </w:rPr>
        <w:t>第二课堂成绩预警是对学生在第二课堂方面可能或已经发生的学习问题和学业困难进行警示提醒，并有针对性地采取相应补救和防范措施，帮助学生完成第二课堂学业的一种危机干预制度。</w:t>
      </w:r>
    </w:p>
    <w:p w14:paraId="03F8293F">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36"/>
        </w:rPr>
        <w:t xml:space="preserve">第三条 </w:t>
      </w:r>
      <w:r>
        <w:rPr>
          <w:rFonts w:ascii="仿宋_GB2312" w:hAnsi="仿宋_GB2312" w:eastAsia="仿宋_GB2312" w:cs="仿宋_GB2312"/>
          <w:sz w:val="28"/>
          <w:szCs w:val="36"/>
        </w:rPr>
        <w:t xml:space="preserve"> </w:t>
      </w:r>
      <w:r>
        <w:rPr>
          <w:rFonts w:hint="eastAsia" w:ascii="仿宋_GB2312" w:hAnsi="仿宋_GB2312" w:eastAsia="仿宋_GB2312" w:cs="仿宋_GB2312"/>
          <w:sz w:val="28"/>
          <w:szCs w:val="36"/>
        </w:rPr>
        <w:t>第二课堂成绩预警面向普通全日制在校本科生，前三学年每年进行一次，课程范围包含</w:t>
      </w:r>
      <w:r>
        <w:rPr>
          <w:rFonts w:hint="eastAsia" w:ascii="仿宋_GB2312" w:hAnsi="仿宋_GB2312" w:eastAsia="仿宋_GB2312" w:cs="仿宋_GB2312"/>
          <w:sz w:val="28"/>
          <w:szCs w:val="28"/>
        </w:rPr>
        <w:t>思想成长类、创新创业类、社会实践与志愿服务类、文体发展类等四类。</w:t>
      </w:r>
    </w:p>
    <w:p w14:paraId="0AB91389">
      <w:pPr>
        <w:adjustRightInd w:val="0"/>
        <w:snapToGrid w:val="0"/>
        <w:spacing w:line="560" w:lineRule="exact"/>
        <w:ind w:firstLine="560" w:firstLineChars="200"/>
        <w:rPr>
          <w:rFonts w:ascii="仿宋_GB2312" w:hAnsi="仿宋_GB2312" w:eastAsia="仿宋_GB2312" w:cs="仿宋_GB2312"/>
          <w:sz w:val="28"/>
          <w:szCs w:val="36"/>
        </w:rPr>
      </w:pPr>
      <w:r>
        <w:rPr>
          <w:rFonts w:hint="eastAsia" w:ascii="仿宋_GB2312" w:hAnsi="仿宋_GB2312" w:eastAsia="仿宋_GB2312" w:cs="仿宋_GB2312"/>
          <w:sz w:val="28"/>
          <w:szCs w:val="36"/>
        </w:rPr>
        <w:t xml:space="preserve">第四条 </w:t>
      </w:r>
      <w:r>
        <w:rPr>
          <w:rFonts w:ascii="仿宋_GB2312" w:hAnsi="仿宋_GB2312" w:eastAsia="仿宋_GB2312" w:cs="仿宋_GB2312"/>
          <w:sz w:val="28"/>
          <w:szCs w:val="36"/>
        </w:rPr>
        <w:t xml:space="preserve"> </w:t>
      </w:r>
      <w:r>
        <w:rPr>
          <w:rFonts w:hint="eastAsia" w:ascii="仿宋_GB2312" w:hAnsi="仿宋_GB2312" w:eastAsia="仿宋_GB2312" w:cs="仿宋_GB2312"/>
          <w:sz w:val="28"/>
          <w:szCs w:val="36"/>
        </w:rPr>
        <w:t>第二课堂成绩预警工作由校团委和二级团委共同负责，校团委负责定期发布预警名单和对预警工作的检查与监督，二级团委成立以团委书记为组长的“第二课堂成绩单”管理工作组，具体负责工作实施。</w:t>
      </w:r>
    </w:p>
    <w:p w14:paraId="7B55BBEA">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36"/>
        </w:rPr>
        <w:t xml:space="preserve">第五条 </w:t>
      </w:r>
      <w:r>
        <w:rPr>
          <w:rFonts w:ascii="仿宋_GB2312" w:hAnsi="仿宋_GB2312" w:eastAsia="仿宋_GB2312" w:cs="仿宋_GB2312"/>
          <w:sz w:val="28"/>
          <w:szCs w:val="36"/>
        </w:rPr>
        <w:t xml:space="preserve"> </w:t>
      </w:r>
      <w:r>
        <w:rPr>
          <w:rFonts w:hint="eastAsia" w:ascii="仿宋_GB2312" w:hAnsi="仿宋_GB2312" w:eastAsia="仿宋_GB2312" w:cs="仿宋_GB2312"/>
          <w:sz w:val="28"/>
          <w:szCs w:val="36"/>
        </w:rPr>
        <w:t>预警类别</w:t>
      </w:r>
    </w:p>
    <w:p w14:paraId="0D58D057">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36"/>
        </w:rPr>
        <w:t>预警分为“成绩提醒”和“成绩警告”。</w:t>
      </w:r>
    </w:p>
    <w:p w14:paraId="62977439">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成绩提醒</w:t>
      </w:r>
    </w:p>
    <w:p w14:paraId="658D6633">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（1）截止大一学年末，学生累计</w:t>
      </w:r>
      <w:r>
        <w:rPr>
          <w:rFonts w:hint="eastAsia" w:ascii="仿宋_GB2312" w:hAnsi="仿宋_GB2312" w:eastAsia="仿宋_GB2312" w:cs="仿宋_GB2312"/>
          <w:sz w:val="28"/>
          <w:szCs w:val="28"/>
          <w:lang w:val="en-US" w:eastAsia="zh-CN"/>
        </w:rPr>
        <w:t>学时</w:t>
      </w:r>
      <w:r>
        <w:rPr>
          <w:rFonts w:hint="eastAsia" w:ascii="仿宋_GB2312" w:hAnsi="仿宋_GB2312" w:eastAsia="仿宋_GB2312" w:cs="仿宋_GB2312"/>
          <w:sz w:val="28"/>
          <w:szCs w:val="28"/>
        </w:rPr>
        <w:t>&lt;</w:t>
      </w:r>
      <w:r>
        <w:rPr>
          <w:rFonts w:hint="eastAsia" w:ascii="仿宋_GB2312" w:hAnsi="仿宋_GB2312" w:eastAsia="仿宋_GB2312" w:cs="仿宋_GB2312"/>
          <w:sz w:val="28"/>
          <w:szCs w:val="28"/>
          <w:lang w:val="en-US" w:eastAsia="zh-CN"/>
        </w:rPr>
        <w:t>38</w:t>
      </w:r>
      <w:r>
        <w:rPr>
          <w:rFonts w:hint="eastAsia" w:ascii="仿宋_GB2312" w:hAnsi="仿宋_GB2312" w:eastAsia="仿宋_GB2312" w:cs="仿宋_GB2312"/>
          <w:sz w:val="28"/>
          <w:szCs w:val="28"/>
        </w:rPr>
        <w:t>或创新创业类</w:t>
      </w:r>
      <w:r>
        <w:rPr>
          <w:rFonts w:hint="eastAsia" w:ascii="仿宋_GB2312" w:hAnsi="仿宋_GB2312" w:eastAsia="仿宋_GB2312" w:cs="仿宋_GB2312"/>
          <w:sz w:val="28"/>
          <w:szCs w:val="28"/>
          <w:lang w:val="en-US" w:eastAsia="zh-CN"/>
        </w:rPr>
        <w:t>学时&lt;8或</w:t>
      </w:r>
      <w:r>
        <w:rPr>
          <w:rFonts w:hint="eastAsia" w:ascii="仿宋_GB2312" w:hAnsi="仿宋_GB2312" w:eastAsia="仿宋_GB2312" w:cs="仿宋_GB2312"/>
          <w:sz w:val="28"/>
          <w:szCs w:val="28"/>
        </w:rPr>
        <w:t>社会实践与志愿服务类</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思想成长类、文体发展类学时任一&lt;10</w:t>
      </w:r>
      <w:r>
        <w:rPr>
          <w:rFonts w:hint="eastAsia" w:ascii="仿宋_GB2312" w:hAnsi="仿宋_GB2312" w:eastAsia="仿宋_GB2312" w:cs="仿宋_GB2312"/>
          <w:sz w:val="28"/>
          <w:szCs w:val="28"/>
        </w:rPr>
        <w:t>。</w:t>
      </w:r>
    </w:p>
    <w:p w14:paraId="01C81567">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（2）截止大二学年末，学生累计</w:t>
      </w:r>
      <w:r>
        <w:rPr>
          <w:rFonts w:hint="eastAsia" w:ascii="仿宋_GB2312" w:hAnsi="仿宋_GB2312" w:eastAsia="仿宋_GB2312" w:cs="仿宋_GB2312"/>
          <w:sz w:val="28"/>
          <w:szCs w:val="28"/>
          <w:lang w:val="en-US" w:eastAsia="zh-CN"/>
        </w:rPr>
        <w:t>学时&gt;65但</w:t>
      </w:r>
      <w:r>
        <w:rPr>
          <w:rFonts w:hint="eastAsia" w:ascii="仿宋_GB2312" w:hAnsi="仿宋_GB2312" w:eastAsia="仿宋_GB2312" w:cs="仿宋_GB2312"/>
          <w:sz w:val="28"/>
          <w:szCs w:val="28"/>
        </w:rPr>
        <w:t>创新创业类</w:t>
      </w:r>
      <w:r>
        <w:rPr>
          <w:rFonts w:hint="eastAsia" w:ascii="仿宋_GB2312" w:hAnsi="仿宋_GB2312" w:eastAsia="仿宋_GB2312" w:cs="仿宋_GB2312"/>
          <w:sz w:val="28"/>
          <w:szCs w:val="28"/>
          <w:lang w:val="en-US" w:eastAsia="zh-CN"/>
        </w:rPr>
        <w:t>学时&lt;15或</w:t>
      </w:r>
      <w:r>
        <w:rPr>
          <w:rFonts w:hint="eastAsia" w:ascii="仿宋_GB2312" w:hAnsi="仿宋_GB2312" w:eastAsia="仿宋_GB2312" w:cs="仿宋_GB2312"/>
          <w:sz w:val="28"/>
          <w:szCs w:val="28"/>
        </w:rPr>
        <w:t>社会实践与志愿服务类</w:t>
      </w:r>
      <w:r>
        <w:rPr>
          <w:rFonts w:hint="eastAsia" w:ascii="仿宋_GB2312" w:hAnsi="仿宋_GB2312" w:eastAsia="仿宋_GB2312" w:cs="仿宋_GB2312"/>
          <w:sz w:val="28"/>
          <w:szCs w:val="28"/>
          <w:lang w:val="en-US" w:eastAsia="zh-CN"/>
        </w:rPr>
        <w:t>学时&lt;20或思想成长类、文体发展类学时任一&lt;15</w:t>
      </w:r>
      <w:r>
        <w:rPr>
          <w:rFonts w:hint="eastAsia" w:ascii="仿宋_GB2312" w:hAnsi="仿宋_GB2312" w:eastAsia="仿宋_GB2312" w:cs="仿宋_GB2312"/>
          <w:sz w:val="28"/>
          <w:szCs w:val="28"/>
        </w:rPr>
        <w:t>。</w:t>
      </w:r>
    </w:p>
    <w:p w14:paraId="2E93F42F">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成绩警告</w:t>
      </w:r>
    </w:p>
    <w:p w14:paraId="56DCCA82">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（1）截止大二学年末，学生累计</w:t>
      </w:r>
      <w:r>
        <w:rPr>
          <w:rFonts w:hint="eastAsia" w:ascii="仿宋_GB2312" w:hAnsi="仿宋_GB2312" w:eastAsia="仿宋_GB2312" w:cs="仿宋_GB2312"/>
          <w:sz w:val="28"/>
          <w:szCs w:val="28"/>
          <w:lang w:val="en-US" w:eastAsia="zh-CN"/>
        </w:rPr>
        <w:t>学时</w:t>
      </w:r>
      <w:r>
        <w:rPr>
          <w:rFonts w:hint="eastAsia" w:ascii="仿宋_GB2312" w:hAnsi="仿宋_GB2312" w:eastAsia="仿宋_GB2312" w:cs="仿宋_GB2312"/>
          <w:sz w:val="28"/>
          <w:szCs w:val="28"/>
        </w:rPr>
        <w:t>&lt;</w:t>
      </w:r>
      <w:r>
        <w:rPr>
          <w:rFonts w:hint="eastAsia" w:ascii="仿宋_GB2312" w:hAnsi="仿宋_GB2312" w:eastAsia="仿宋_GB2312" w:cs="仿宋_GB2312"/>
          <w:sz w:val="28"/>
          <w:szCs w:val="28"/>
          <w:lang w:val="en-US" w:eastAsia="zh-CN"/>
        </w:rPr>
        <w:t>65</w:t>
      </w:r>
      <w:r>
        <w:rPr>
          <w:rFonts w:hint="eastAsia" w:ascii="仿宋_GB2312" w:hAnsi="仿宋_GB2312" w:eastAsia="仿宋_GB2312" w:cs="仿宋_GB2312"/>
          <w:sz w:val="28"/>
          <w:szCs w:val="28"/>
        </w:rPr>
        <w:t>。</w:t>
      </w:r>
    </w:p>
    <w:p w14:paraId="4DBED4EB">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（2）截止大三学年末，</w:t>
      </w:r>
      <w:r>
        <w:rPr>
          <w:rFonts w:hint="eastAsia" w:ascii="仿宋_GB2312" w:hAnsi="仿宋_GB2312" w:eastAsia="仿宋_GB2312" w:cs="仿宋_GB2312"/>
          <w:sz w:val="28"/>
          <w:szCs w:val="28"/>
          <w:lang w:val="en-US" w:eastAsia="zh-CN"/>
        </w:rPr>
        <w:t>学时累计学时&lt;100或</w:t>
      </w:r>
      <w:r>
        <w:rPr>
          <w:rFonts w:hint="eastAsia" w:ascii="仿宋_GB2312" w:hAnsi="仿宋_GB2312" w:eastAsia="仿宋_GB2312" w:cs="仿宋_GB2312"/>
          <w:sz w:val="28"/>
          <w:szCs w:val="28"/>
        </w:rPr>
        <w:t>创新创业类、社会实践与志愿服务类</w:t>
      </w:r>
      <w:r>
        <w:rPr>
          <w:rFonts w:hint="eastAsia" w:ascii="仿宋_GB2312" w:hAnsi="仿宋_GB2312" w:eastAsia="仿宋_GB2312" w:cs="仿宋_GB2312"/>
          <w:sz w:val="28"/>
          <w:szCs w:val="28"/>
          <w:lang w:val="en-US" w:eastAsia="zh-CN"/>
        </w:rPr>
        <w:t>学时任一</w:t>
      </w:r>
      <w:r>
        <w:rPr>
          <w:rFonts w:hint="eastAsia" w:ascii="仿宋_GB2312" w:hAnsi="仿宋_GB2312" w:eastAsia="仿宋_GB2312" w:cs="仿宋_GB2312"/>
          <w:sz w:val="28"/>
          <w:szCs w:val="28"/>
        </w:rPr>
        <w:t>&lt;</w:t>
      </w:r>
      <w:r>
        <w:rPr>
          <w:rFonts w:hint="eastAsia" w:ascii="仿宋_GB2312" w:hAnsi="仿宋_GB2312" w:eastAsia="仿宋_GB2312" w:cs="仿宋_GB2312"/>
          <w:sz w:val="28"/>
          <w:szCs w:val="28"/>
          <w:lang w:val="en-US" w:eastAsia="zh-CN"/>
        </w:rPr>
        <w:t>30或思想成长类、文体发展类学时任一&lt;20</w:t>
      </w:r>
      <w:r>
        <w:rPr>
          <w:rFonts w:hint="eastAsia" w:ascii="仿宋_GB2312" w:hAnsi="仿宋_GB2312" w:eastAsia="仿宋_GB2312" w:cs="仿宋_GB2312"/>
          <w:sz w:val="28"/>
          <w:szCs w:val="28"/>
        </w:rPr>
        <w:t>。</w:t>
      </w:r>
    </w:p>
    <w:p w14:paraId="2C8180CF">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第六条 </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预警程序</w:t>
      </w:r>
    </w:p>
    <w:p w14:paraId="0CA5AC62">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 w:hAnsi="仿宋" w:eastAsia="仿宋"/>
          <w:color w:val="000000"/>
          <w:sz w:val="30"/>
          <w:szCs w:val="30"/>
        </w:rPr>
        <w:t>“第二课堂成绩单”项目管理办公室确定预警学生名单。</w:t>
      </w:r>
    </w:p>
    <w:p w14:paraId="57D75783">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2.各二级团委“第二课堂成绩单”管理工作组下达《中国石油大学（华东）第二课堂成绩预警通知书》（见附件）给学生，并通知其辅导员，有针对性地加强对学生的督促，帮助学生制定个性化学习计划。</w:t>
      </w:r>
    </w:p>
    <w:p w14:paraId="4BD236F2">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3.各二级团委“第二课堂成绩单”管理工作组建立预警管理台账，</w:t>
      </w:r>
      <w:bookmarkStart w:id="0" w:name="_GoBack"/>
      <w:bookmarkEnd w:id="0"/>
      <w:r>
        <w:rPr>
          <w:rFonts w:hint="eastAsia" w:ascii="仿宋_GB2312" w:hAnsi="仿宋_GB2312" w:eastAsia="仿宋_GB2312" w:cs="仿宋_GB2312"/>
          <w:sz w:val="28"/>
          <w:szCs w:val="28"/>
        </w:rPr>
        <w:t>定期检查，督促指导学生完成第二课堂学业要求。</w:t>
      </w:r>
    </w:p>
    <w:p w14:paraId="6AB9A3FB">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4.“第二课堂成绩单”项目管理办公室对各二级团委的预警情况和督促效果进行检查督导。</w:t>
      </w:r>
    </w:p>
    <w:p w14:paraId="1E65EAF0">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val="en-US" w:eastAsia="zh-CN"/>
        </w:rPr>
        <w:t>七</w:t>
      </w:r>
      <w:r>
        <w:rPr>
          <w:rFonts w:hint="eastAsia" w:ascii="仿宋_GB2312" w:hAnsi="仿宋_GB2312" w:eastAsia="仿宋_GB2312" w:cs="仿宋_GB2312"/>
          <w:sz w:val="28"/>
          <w:szCs w:val="28"/>
        </w:rPr>
        <w:t>条 本细则适用 2024级及以后本科生，2023级及以前本科生按照</w:t>
      </w:r>
      <w:r>
        <w:rPr>
          <w:rFonts w:hint="eastAsia" w:ascii="仿宋_GB2312" w:hAnsi="仿宋_GB2312" w:eastAsia="仿宋_GB2312" w:cs="仿宋_GB2312"/>
          <w:sz w:val="28"/>
          <w:szCs w:val="28"/>
          <w:lang w:eastAsia="zh-CN"/>
        </w:rPr>
        <w:t>《中国石油大学（华东）第二课堂成绩预警管理办法》</w:t>
      </w:r>
      <w:r>
        <w:rPr>
          <w:rFonts w:hint="eastAsia" w:ascii="仿宋_GB2312" w:hAnsi="仿宋_GB2312" w:eastAsia="仿宋_GB2312" w:cs="仿宋_GB2312"/>
          <w:sz w:val="28"/>
          <w:szCs w:val="28"/>
        </w:rPr>
        <w:t>执行。</w:t>
      </w:r>
    </w:p>
    <w:p w14:paraId="7E71A75E">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rPr>
        <w:t xml:space="preserve">条 </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本办法自发布之日起</w:t>
      </w:r>
      <w:r>
        <w:rPr>
          <w:rFonts w:hint="eastAsia" w:ascii="仿宋_GB2312" w:hAnsi="仿宋_GB2312" w:eastAsia="仿宋_GB2312" w:cs="仿宋_GB2312"/>
          <w:sz w:val="28"/>
          <w:szCs w:val="28"/>
          <w:lang w:val="en-US" w:eastAsia="zh-CN"/>
        </w:rPr>
        <w:t>实施</w:t>
      </w:r>
      <w:r>
        <w:rPr>
          <w:rFonts w:hint="eastAsia" w:ascii="仿宋_GB2312" w:hAnsi="仿宋_GB2312" w:eastAsia="仿宋_GB2312" w:cs="仿宋_GB2312"/>
          <w:sz w:val="28"/>
          <w:szCs w:val="28"/>
        </w:rPr>
        <w:t>。</w:t>
      </w:r>
    </w:p>
    <w:p w14:paraId="4DB9C016">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val="en-US" w:eastAsia="zh-CN"/>
        </w:rPr>
        <w:t>九</w:t>
      </w:r>
      <w:r>
        <w:rPr>
          <w:rFonts w:hint="eastAsia" w:ascii="仿宋_GB2312" w:hAnsi="仿宋_GB2312" w:eastAsia="仿宋_GB2312" w:cs="仿宋_GB2312"/>
          <w:sz w:val="28"/>
          <w:szCs w:val="28"/>
        </w:rPr>
        <w:t xml:space="preserve">条 </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本办法由学校团委负责解释。</w:t>
      </w:r>
    </w:p>
    <w:p w14:paraId="3C9887BD">
      <w:pPr>
        <w:adjustRightInd w:val="0"/>
        <w:snapToGrid w:val="0"/>
        <w:spacing w:line="560" w:lineRule="exact"/>
        <w:ind w:firstLine="560" w:firstLineChars="200"/>
        <w:rPr>
          <w:rFonts w:hint="eastAsia" w:ascii="仿宋_GB2312" w:hAnsi="仿宋_GB2312" w:eastAsia="仿宋_GB2312" w:cs="仿宋_GB2312"/>
          <w:sz w:val="28"/>
          <w:szCs w:val="28"/>
        </w:rPr>
      </w:pPr>
    </w:p>
    <w:p w14:paraId="6DD8D8C8">
      <w:pPr>
        <w:adjustRightInd w:val="0"/>
        <w:snapToGrid w:val="0"/>
        <w:spacing w:line="560" w:lineRule="exact"/>
        <w:ind w:firstLine="560" w:firstLineChars="200"/>
        <w:jc w:val="right"/>
        <w:rPr>
          <w:rFonts w:ascii="仿宋_GB2312" w:hAnsi="仿宋_GB2312" w:eastAsia="仿宋_GB2312" w:cs="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榛戜綋">
    <w:altName w:val="Segoe Print"/>
    <w:panose1 w:val="00000000000000000000"/>
    <w:charset w:val="00"/>
    <w:family w:val="auto"/>
    <w:pitch w:val="default"/>
    <w:sig w:usb0="00000000" w:usb1="00000000" w:usb2="00000000" w:usb3="00000000" w:csb0="00000000" w:csb1="00000000"/>
  </w:font>
  <w:font w:name="浠垮畫_GB231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NjNjE3MzJjMGJlNWRhYzY2YmI1OTRhYTI3MGNmYmUifQ=="/>
  </w:docVars>
  <w:rsids>
    <w:rsidRoot w:val="00C06A04"/>
    <w:rsid w:val="00047750"/>
    <w:rsid w:val="000A5B8E"/>
    <w:rsid w:val="000B69E8"/>
    <w:rsid w:val="00107586"/>
    <w:rsid w:val="0010758E"/>
    <w:rsid w:val="00136B96"/>
    <w:rsid w:val="001C6A79"/>
    <w:rsid w:val="001D3D1A"/>
    <w:rsid w:val="002544CE"/>
    <w:rsid w:val="002E2A56"/>
    <w:rsid w:val="003E02DB"/>
    <w:rsid w:val="003E3D6F"/>
    <w:rsid w:val="00400976"/>
    <w:rsid w:val="004174C0"/>
    <w:rsid w:val="0042516B"/>
    <w:rsid w:val="0048384B"/>
    <w:rsid w:val="00545B35"/>
    <w:rsid w:val="00553BE1"/>
    <w:rsid w:val="0062261D"/>
    <w:rsid w:val="00625881"/>
    <w:rsid w:val="006608E5"/>
    <w:rsid w:val="00665AEF"/>
    <w:rsid w:val="006C4B40"/>
    <w:rsid w:val="008D07E0"/>
    <w:rsid w:val="009523E0"/>
    <w:rsid w:val="00B376EF"/>
    <w:rsid w:val="00B84BBA"/>
    <w:rsid w:val="00B958BE"/>
    <w:rsid w:val="00C06A04"/>
    <w:rsid w:val="00C428AB"/>
    <w:rsid w:val="00C60B24"/>
    <w:rsid w:val="00C73496"/>
    <w:rsid w:val="00CB3705"/>
    <w:rsid w:val="00D2136A"/>
    <w:rsid w:val="00D26527"/>
    <w:rsid w:val="00D363D7"/>
    <w:rsid w:val="00D7472B"/>
    <w:rsid w:val="00DA4F7F"/>
    <w:rsid w:val="00DA59E1"/>
    <w:rsid w:val="00DC20D1"/>
    <w:rsid w:val="00E13FA9"/>
    <w:rsid w:val="00E406FD"/>
    <w:rsid w:val="00E6278D"/>
    <w:rsid w:val="00F35CAC"/>
    <w:rsid w:val="00F75F5D"/>
    <w:rsid w:val="00F843EF"/>
    <w:rsid w:val="03575C81"/>
    <w:rsid w:val="05EE39F7"/>
    <w:rsid w:val="06783F44"/>
    <w:rsid w:val="0BE644FF"/>
    <w:rsid w:val="109D5DCD"/>
    <w:rsid w:val="15A41C61"/>
    <w:rsid w:val="2E0547AC"/>
    <w:rsid w:val="2F52493C"/>
    <w:rsid w:val="31CC0F4A"/>
    <w:rsid w:val="3CA8487C"/>
    <w:rsid w:val="3D6B247F"/>
    <w:rsid w:val="45740A52"/>
    <w:rsid w:val="46555DC8"/>
    <w:rsid w:val="4F4B5D7E"/>
    <w:rsid w:val="54BD5260"/>
    <w:rsid w:val="567841D3"/>
    <w:rsid w:val="5EB06958"/>
    <w:rsid w:val="62D9315A"/>
    <w:rsid w:val="646F5BEF"/>
    <w:rsid w:val="68476448"/>
    <w:rsid w:val="6E434D8C"/>
    <w:rsid w:val="724E101A"/>
    <w:rsid w:val="76E64422"/>
    <w:rsid w:val="778F2D82"/>
    <w:rsid w:val="78FD6DDA"/>
    <w:rsid w:val="7CF23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字符"/>
    <w:basedOn w:val="7"/>
    <w:link w:val="3"/>
    <w:semiHidden/>
    <w:qFormat/>
    <w:uiPriority w:val="99"/>
    <w:rPr>
      <w:rFonts w:ascii="Calibri" w:hAnsi="Calibri" w:eastAsia="宋体" w:cs="Times New Roman"/>
      <w:sz w:val="18"/>
      <w:szCs w:val="18"/>
    </w:rPr>
  </w:style>
  <w:style w:type="character" w:customStyle="1" w:styleId="12">
    <w:name w:val="日期 字符"/>
    <w:basedOn w:val="7"/>
    <w:link w:val="2"/>
    <w:semiHidden/>
    <w:qFormat/>
    <w:uiPriority w:val="99"/>
    <w:rPr>
      <w:rFonts w:ascii="Calibri" w:hAnsi="Calibri"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845</Words>
  <Characters>876</Characters>
  <Lines>5</Lines>
  <Paragraphs>1</Paragraphs>
  <TotalTime>1</TotalTime>
  <ScaleCrop>false</ScaleCrop>
  <LinksUpToDate>false</LinksUpToDate>
  <CharactersWithSpaces>892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2020-07-24T03:12:00Z</dcterms:created>
  <dc:creator>李昀泽</dc:creator>
  <cp:lastModifiedBy>96972</cp:lastModifiedBy>
  <dcterms:modified xsi:type="dcterms:W3CDTF">2026-10-28T06:42:22Z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81F4977170624F7C97A8319B7FDC5778_13</vt:lpwstr>
  </property>
  <property fmtid="{D5CDD505-2E9C-101B-9397-08002B2CF9AE}" pid="4" name="KSOTemplateDocerSaveRecord">
    <vt:lpwstr>eyJoZGlkIjoiZmIwYmZlYzNlZWQyODM5MzFhZjhmYzE3NDRhZjgzMjkiLCJ1c2VySWQiOiIyMzA2OTUyMTQifQ==</vt:lpwstr>
  </property>
</Properties>
</file>